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pc_157_5_mg_tb_500_5_mg_blend_du_aef356"/>
      <w:r>
        <w:rPr>
          <w:rFonts w:eastAsia="georgia" w:cs="georgia" w:ascii="georgia" w:hAnsi="georgia"/>
          <w:b/>
          <w:color w:val="000000"/>
          <w:sz w:val="39"/>
        </w:rPr>
        <w:t xml:space="preserve">BPC‑157 (5 mg) + TB‑500 (5 mg) Blend – Dual Tissue-Repair Research Peptide</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The BPC‑157 + TB‑500 Blend combines two extensively studied synthetic peptides in a fixed 1:1 ratio, delivering 5 mg BPC‑157 and 5 mg TB‑500 per 10 mg lyophilized vial.[web:111][web:118] BPC‑157 is a stable 15‑amino‑acid fragment of a gastric protective protein, while TB‑500 is a synthetic heptapeptide corresponding to the N‑acetylated actin‑binding region of thymosin beta‑4.[web:111][web:115][web:118]</w:t>
      </w:r>
    </w:p>
    <w:p>
      <w:pPr>
        <w:spacing w:line="360" w:after="210" w:lineRule="auto"/>
      </w:pPr>
      <w:r>
        <w:rPr>
          <w:rFonts w:eastAsia="georgia" w:cs="georgia" w:ascii="georgia" w:hAnsi="georgia"/>
          <w:color w:val="000000"/>
        </w:rPr>
        <w:t xml:space="preserve">This pre‑formulated blend is used in preclinical research to explore complementary and potentially synergistic effects on tissue protection, soft‑tissue repair, angiogenesis, cell migration, and inflammatory pathway modulation.[web:113][web:116][web:119] The vial is supplied as a sterile, white to off‑white lyophilized powder with high purity verified by HPLC and identity confirmed by mass spectrometry.</w:t>
      </w:r>
    </w:p>
    <w:p>
      <w:pPr>
        <w:spacing w:line="360" w:after="210" w:lineRule="auto"/>
      </w:pPr>
      <w:r>
        <w:rPr>
          <w:rFonts w:eastAsia="georgia" w:cs="georgia" w:ascii="georgia" w:hAnsi="georgia"/>
          <w:color w:val="000000"/>
        </w:rPr>
        <w:t xml:space="preserve">This material is intended strictly for in‑vitro experiments and in‑vivo animal models in qualified laboratories and is not approved for human or veterinary 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BPC‑157 (5 mg) + TB‑500 (5 mg) Blend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Total content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mg lyophilized peptide blend per vial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Composition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 mg BPC‑157 + 5 mg TB‑500 (approximate 1:1 ratio)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BPC‑157 sequence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Gly‑Glu‑Pro‑Pro‑Pro‑Gly‑Lys‑Pro‑Ala‑Asp‑Asp‑Ala‑Gly‑Leu‑Val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TB‑500 active sequence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Ac‑Leu‑Lys‑Lys‑Thr‑Glu‑Thr‑Gln (Ac‑LKKTETQ)</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BPC‑157 formula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C₆₂H₉₈N₁₆O₂₂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BPC‑157 MW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~1419.6 g/mol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TB‑500 formula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C₃₈H₆₈N₁₂O₁₄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TB‑500 MW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~889 g/mol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Sterile lyophilized acetate salt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cake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(unopened)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2–8 °C, protected from light and moisture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after="210" w:lineRule="auto"/>
      </w:pPr>
      <w:r>
        <w:rPr>
          <w:rFonts w:eastAsia="georgia" w:cs="georgia" w:ascii="georgia" w:hAnsi="georgia"/>
          <w:color w:val="000000"/>
        </w:rPr>
        <w:t xml:space="preserve">Sequences, formulae, and molecular weights align with commonly cited specifications for BPC‑157 and TB‑500 research materials.[web:111][web:115][web:117][web:124]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component_identities"/>
      <w:r>
        <w:rPr>
          <w:rFonts w:eastAsia="georgia" w:cs="georgia" w:ascii="georgia" w:hAnsi="georgia"/>
          <w:b/>
          <w:color w:val="000000"/>
          <w:sz w:val="24"/>
        </w:rPr>
        <w:t xml:space="preserve">Component identities</w:t>
      </w:r>
      <w:bookmarkEnd w:id="3"/>
    </w:p>
    <w:p>
      <w:pPr>
        <w:spacing w:line="360" w:before="315" w:after="105" w:lineRule="auto"/>
        <w:ind w:left="-30"/>
        <w:jc w:val="left"/>
      </w:pPr>
      <w:bookmarkStart w:id="4" w:name="bpc_157_component"/>
      <w:r>
        <w:rPr>
          <w:rFonts w:eastAsia="georgia" w:cs="georgia" w:ascii="georgia" w:hAnsi="georgia"/>
          <w:b/>
          <w:color w:val="000000"/>
          <w:sz w:val="24"/>
        </w:rPr>
        <w:t xml:space="preserve">BPC‑157 component</w:t>
      </w:r>
      <w:bookmarkEnd w:id="4"/>
    </w:p>
    <w:p>
      <w:pPr>
        <w:spacing w:line="360" w:after="210" w:lineRule="auto"/>
      </w:pPr>
      <w:r>
        <w:rPr>
          <w:rFonts w:eastAsia="georgia" w:cs="georgia" w:ascii="georgia" w:hAnsi="georgia"/>
          <w:color w:val="000000"/>
        </w:rPr>
        <w:t xml:space="preserve">BPC‑157 is a pentadecapeptide (15 amino acids) derived from the sequence of a human gastric protective protein and is often described as a “stable gastric pentadecapeptide” because of its resistance to acidic and enzymatic degradation.[web:111][web:114][web:117] Its sequence is Gly‑Glu‑Pro‑Pro‑Pro‑Gly‑Lys‑Pro‑Ala‑Asp‑Asp‑Ala‑Gly‑Leu‑Val, with a molecular formula of C₆₂H₉₈N₁₆O₂₂ and molecular weight around 1419.6 g/mol.[web:111][web:117]</w:t>
      </w:r>
    </w:p>
    <w:p>
      <w:pPr>
        <w:spacing w:line="360" w:after="210" w:lineRule="auto"/>
      </w:pPr>
      <w:r>
        <w:rPr>
          <w:rFonts w:eastAsia="georgia" w:cs="georgia" w:ascii="georgia" w:hAnsi="georgia"/>
          <w:color w:val="000000"/>
        </w:rPr>
        <w:t xml:space="preserve">Preclinical work has explored BPC‑157 in models involving musculoskeletal injury, gastrointestinal integrity, vascular function, and neuroprotection, often focusing on its apparent cytoprotective and pro‑angiogenic signaling.[web:113][web:114][web:116]</w:t>
      </w:r>
    </w:p>
    <w:p>
      <w:pPr>
        <w:spacing w:line="360" w:before="315" w:after="105" w:lineRule="auto"/>
        <w:ind w:left="-30"/>
        <w:jc w:val="left"/>
      </w:pPr>
      <w:bookmarkStart w:id="5" w:name="tb_500_component"/>
      <w:r>
        <w:rPr>
          <w:rFonts w:eastAsia="georgia" w:cs="georgia" w:ascii="georgia" w:hAnsi="georgia"/>
          <w:b/>
          <w:color w:val="000000"/>
          <w:sz w:val="24"/>
        </w:rPr>
        <w:t xml:space="preserve">TB‑500 component</w:t>
      </w:r>
      <w:bookmarkEnd w:id="5"/>
    </w:p>
    <w:p>
      <w:pPr>
        <w:spacing w:line="360" w:after="210" w:lineRule="auto"/>
      </w:pPr>
      <w:r>
        <w:rPr>
          <w:rFonts w:eastAsia="georgia" w:cs="georgia" w:ascii="georgia" w:hAnsi="georgia"/>
          <w:color w:val="000000"/>
        </w:rPr>
        <w:t xml:space="preserve">TB‑500 is the research designation for a synthetic fragment corresponding to the N‑terminally acetylated 17–23 region of thymosin beta‑4, with the heptapeptide sequence Ac‑LKKTETQ.[web:115][web:118][web:124] This short sequence captures the core actin‑binding motif of the 43‑amino‑acid parent protein and is studied for its effects on cell migration, angiogenesis, and tissue repair.[web:115][web:118]</w:t>
      </w:r>
    </w:p>
    <w:p>
      <w:pPr>
        <w:spacing w:line="360" w:after="210" w:lineRule="auto"/>
      </w:pPr>
      <w:r>
        <w:rPr>
          <w:rFonts w:eastAsia="georgia" w:cs="georgia" w:ascii="georgia" w:hAnsi="georgia"/>
          <w:color w:val="000000"/>
        </w:rPr>
        <w:t xml:space="preserve">The fragment has a molecular formula of C₃₈H₆₈N₁₂O₁₄ and a molecular weight close to 889 g/mol for the acetylated heptapeptide.[web:112][web:124]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cientific_background_non_clinical"/>
      <w:r>
        <w:rPr>
          <w:rFonts w:eastAsia="georgia" w:cs="georgia" w:ascii="georgia" w:hAnsi="georgia"/>
          <w:b/>
          <w:color w:val="000000"/>
          <w:sz w:val="24"/>
        </w:rPr>
        <w:t xml:space="preserve">Scientific background (non‑clinical)</w:t>
      </w:r>
      <w:bookmarkEnd w:id="6"/>
    </w:p>
    <w:p>
      <w:pPr>
        <w:spacing w:line="360" w:before="315" w:after="105" w:lineRule="auto"/>
        <w:ind w:left="-30"/>
        <w:jc w:val="left"/>
      </w:pPr>
      <w:bookmarkStart w:id="7" w:name="rationale_for_the_blend"/>
      <w:r>
        <w:rPr>
          <w:rFonts w:eastAsia="georgia" w:cs="georgia" w:ascii="georgia" w:hAnsi="georgia"/>
          <w:b/>
          <w:color w:val="000000"/>
          <w:sz w:val="24"/>
        </w:rPr>
        <w:t xml:space="preserve">Rationale for the blend</w:t>
      </w:r>
      <w:bookmarkEnd w:id="7"/>
    </w:p>
    <w:p>
      <w:pPr>
        <w:spacing w:line="360" w:after="210" w:lineRule="auto"/>
      </w:pPr>
      <w:r>
        <w:rPr>
          <w:rFonts w:eastAsia="georgia" w:cs="georgia" w:ascii="georgia" w:hAnsi="georgia"/>
          <w:color w:val="000000"/>
        </w:rPr>
        <w:t xml:space="preserve">BPC‑157 and TB‑500 act through distinct but converging pathways related to tissue maintenance and repair:</w:t>
      </w:r>
    </w:p>
    <w:p>
      <w:pPr>
        <w:numPr>
          <w:ilvl w:val="0"/>
          <w:numId w:val="1"/>
        </w:numPr>
        <w:spacing w:line="360" w:before="105" w:after="105" w:lineRule="auto"/>
      </w:pPr>
      <w:r>
        <w:rPr>
          <w:rFonts w:eastAsia="georgia" w:cs="georgia" w:ascii="georgia" w:hAnsi="georgia"/>
          <w:color w:val="000000"/>
          <w:sz w:val="21"/>
        </w:rPr>
        <w:t xml:space="preserve">BPC‑157 is investigated for effects on nitric‑oxide signalling, endothelial protection, angiogenesis, and growth‑factor‑linked repair pathways in multiple organ systems.[web:113][web:114][web:116][web:122]</w:t>
      </w:r>
    </w:p>
    <w:p>
      <w:pPr>
        <w:numPr>
          <w:ilvl w:val="0"/>
          <w:numId w:val="1"/>
        </w:numPr>
        <w:spacing w:line="360" w:before="105" w:after="105" w:lineRule="auto"/>
      </w:pPr>
      <w:r>
        <w:rPr>
          <w:rFonts w:eastAsia="georgia" w:cs="georgia" w:ascii="georgia" w:hAnsi="georgia"/>
          <w:color w:val="000000"/>
          <w:sz w:val="21"/>
        </w:rPr>
        <w:t xml:space="preserve">TB‑500 is studied primarily for its ability to bind and sequester G‑actin, influence cytoskeletal dynamics, and support cell migration and angiogenesis in wound‑healing and ischemia models.[web:115][web:118][web:121]</w:t>
      </w:r>
    </w:p>
    <w:p>
      <w:pPr>
        <w:spacing w:line="360" w:after="210" w:lineRule="auto"/>
      </w:pPr>
      <w:r>
        <w:rPr>
          <w:rFonts w:eastAsia="georgia" w:cs="georgia" w:ascii="georgia" w:hAnsi="georgia"/>
          <w:color w:val="000000"/>
        </w:rPr>
        <w:t xml:space="preserve">Because natural tissue repair requires both protective signaling and coordinated cell movement, the combination allows researchers to examine multi‑pathway repair processes in a single, standardized preparation.[web:113][web:119]</w:t>
      </w:r>
    </w:p>
    <w:p>
      <w:pPr>
        <w:spacing w:line="360" w:before="315" w:after="105" w:lineRule="auto"/>
        <w:ind w:left="-30"/>
        <w:jc w:val="left"/>
      </w:pPr>
      <w:bookmarkStart w:id="8" w:name="preclinical_focus_areas"/>
      <w:r>
        <w:rPr>
          <w:rFonts w:eastAsia="georgia" w:cs="georgia" w:ascii="georgia" w:hAnsi="georgia"/>
          <w:b/>
          <w:color w:val="000000"/>
          <w:sz w:val="24"/>
        </w:rPr>
        <w:t xml:space="preserve">Preclinical focus areas</w:t>
      </w:r>
      <w:bookmarkEnd w:id="8"/>
    </w:p>
    <w:p>
      <w:pPr>
        <w:spacing w:line="360" w:after="210" w:lineRule="auto"/>
      </w:pPr>
      <w:r>
        <w:rPr>
          <w:rFonts w:eastAsia="georgia" w:cs="georgia" w:ascii="georgia" w:hAnsi="georgia"/>
          <w:color w:val="000000"/>
        </w:rPr>
        <w:t xml:space="preserve">Individually, both peptides have been used in rodent and cell‑based models of:</w:t>
      </w:r>
    </w:p>
    <w:p>
      <w:pPr>
        <w:numPr>
          <w:ilvl w:val="0"/>
          <w:numId w:val="2"/>
        </w:numPr>
        <w:spacing w:line="360" w:before="105" w:after="105" w:lineRule="auto"/>
      </w:pPr>
      <w:r>
        <w:rPr>
          <w:rFonts w:eastAsia="georgia" w:cs="georgia" w:ascii="georgia" w:hAnsi="georgia"/>
          <w:color w:val="000000"/>
          <w:sz w:val="21"/>
        </w:rPr>
        <w:t xml:space="preserve">Soft‑tissue injury (tendon, ligament, and muscle).</w:t>
      </w:r>
    </w:p>
    <w:p>
      <w:pPr>
        <w:numPr>
          <w:ilvl w:val="0"/>
          <w:numId w:val="2"/>
        </w:numPr>
        <w:spacing w:line="360" w:before="105" w:after="105" w:lineRule="auto"/>
      </w:pPr>
      <w:r>
        <w:rPr>
          <w:rFonts w:eastAsia="georgia" w:cs="georgia" w:ascii="georgia" w:hAnsi="georgia"/>
          <w:color w:val="000000"/>
          <w:sz w:val="21"/>
        </w:rPr>
        <w:t xml:space="preserve">Vascular and microcirculatory disruption.</w:t>
      </w:r>
    </w:p>
    <w:p>
      <w:pPr>
        <w:numPr>
          <w:ilvl w:val="0"/>
          <w:numId w:val="2"/>
        </w:numPr>
        <w:spacing w:line="360" w:before="105" w:after="105" w:lineRule="auto"/>
      </w:pPr>
      <w:r>
        <w:rPr>
          <w:rFonts w:eastAsia="georgia" w:cs="georgia" w:ascii="georgia" w:hAnsi="georgia"/>
          <w:color w:val="000000"/>
          <w:sz w:val="21"/>
        </w:rPr>
        <w:t xml:space="preserve">Ischemia‑reperfusion and organ protection.</w:t>
      </w:r>
    </w:p>
    <w:p>
      <w:pPr>
        <w:numPr>
          <w:ilvl w:val="0"/>
          <w:numId w:val="2"/>
        </w:numPr>
        <w:spacing w:line="360" w:before="105" w:after="105" w:lineRule="auto"/>
      </w:pPr>
      <w:r>
        <w:rPr>
          <w:rFonts w:eastAsia="georgia" w:cs="georgia" w:ascii="georgia" w:hAnsi="georgia"/>
          <w:color w:val="000000"/>
          <w:sz w:val="21"/>
        </w:rPr>
        <w:t xml:space="preserve">Inflammatory and oxidative‑stress pathways.[web:113][web:114][web:115][web:122]</w:t>
      </w:r>
    </w:p>
    <w:p>
      <w:pPr>
        <w:spacing w:line="360" w:after="210" w:lineRule="auto"/>
      </w:pPr>
      <w:r>
        <w:rPr>
          <w:rFonts w:eastAsia="georgia" w:cs="georgia" w:ascii="georgia" w:hAnsi="georgia"/>
          <w:color w:val="000000"/>
        </w:rPr>
        <w:t xml:space="preserve">The blend is positioned as a research tool to extend those investigations to combined‑mechanism models, including complex wound environments and multi‑tissue injuries.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key_research_themes"/>
      <w:r>
        <w:rPr>
          <w:rFonts w:eastAsia="georgia" w:cs="georgia" w:ascii="georgia" w:hAnsi="georgia"/>
          <w:b/>
          <w:color w:val="000000"/>
          <w:sz w:val="24"/>
        </w:rPr>
        <w:t xml:space="preserve">Key research themes</w:t>
      </w:r>
      <w:bookmarkEnd w:id="9"/>
    </w:p>
    <w:p>
      <w:pPr>
        <w:spacing w:line="360" w:before="315" w:after="105" w:lineRule="auto"/>
        <w:ind w:left="-30"/>
        <w:jc w:val="left"/>
      </w:pPr>
      <w:bookmarkStart w:id="10" w:name="bm_1_soft_tissue_and_connective_t_a2368c"/>
      <w:r>
        <w:rPr>
          <w:rFonts w:eastAsia="georgia" w:cs="georgia" w:ascii="georgia" w:hAnsi="georgia"/>
          <w:b/>
          <w:color w:val="000000"/>
          <w:sz w:val="24"/>
        </w:rPr>
        <w:t xml:space="preserve">1. Soft‑tissue and connective‑tissue repair models</w:t>
      </w:r>
      <w:bookmarkEnd w:id="10"/>
    </w:p>
    <w:p>
      <w:pPr>
        <w:spacing w:line="360" w:after="210" w:lineRule="auto"/>
      </w:pPr>
      <w:r>
        <w:rPr>
          <w:rFonts w:eastAsia="georgia" w:cs="georgia" w:ascii="georgia" w:hAnsi="georgia"/>
          <w:color w:val="000000"/>
        </w:rPr>
        <w:t xml:space="preserve">In preclinical musculoskeletal models, BPC‑157 has been reported to support tendon‑to‑bone healing, ligament repair, and muscle recovery, often with improvements in histology and biomechanical parameters compared with untreated controls.[web:113][web:116][web:119] TB‑500 is frequently used to study fibroblast migration, collagen deposition, angiogenesis, and granulation‑tissue formation in skin and soft‑tissue wounds.[web:115][web:119]</w:t>
      </w:r>
    </w:p>
    <w:p>
      <w:pPr>
        <w:spacing w:line="360" w:after="210" w:lineRule="auto"/>
      </w:pPr>
      <w:r>
        <w:rPr>
          <w:rFonts w:eastAsia="georgia" w:cs="georgia" w:ascii="georgia" w:hAnsi="georgia"/>
          <w:color w:val="000000"/>
        </w:rPr>
        <w:t xml:space="preserve">The blend allows laboratories to:</w:t>
      </w:r>
    </w:p>
    <w:p>
      <w:pPr>
        <w:numPr>
          <w:ilvl w:val="0"/>
          <w:numId w:val="3"/>
        </w:numPr>
        <w:spacing w:line="360" w:before="105" w:after="105" w:lineRule="auto"/>
      </w:pPr>
      <w:r>
        <w:rPr>
          <w:rFonts w:eastAsia="georgia" w:cs="georgia" w:ascii="georgia" w:hAnsi="georgia"/>
          <w:color w:val="000000"/>
          <w:sz w:val="21"/>
        </w:rPr>
        <w:t xml:space="preserve">Model combined effects on tendon, ligament, and muscle healing.</w:t>
      </w:r>
    </w:p>
    <w:p>
      <w:pPr>
        <w:numPr>
          <w:ilvl w:val="0"/>
          <w:numId w:val="3"/>
        </w:numPr>
        <w:spacing w:line="360" w:before="105" w:after="105" w:lineRule="auto"/>
      </w:pPr>
      <w:r>
        <w:rPr>
          <w:rFonts w:eastAsia="georgia" w:cs="georgia" w:ascii="georgia" w:hAnsi="georgia"/>
          <w:color w:val="000000"/>
          <w:sz w:val="21"/>
        </w:rPr>
        <w:t xml:space="preserve">Examine collagen organization and fibroblast behaviour under dual‑peptide conditions.</w:t>
      </w:r>
    </w:p>
    <w:p>
      <w:pPr>
        <w:numPr>
          <w:ilvl w:val="0"/>
          <w:numId w:val="3"/>
        </w:numPr>
        <w:spacing w:line="360" w:before="105" w:after="105" w:lineRule="auto"/>
      </w:pPr>
      <w:r>
        <w:rPr>
          <w:rFonts w:eastAsia="georgia" w:cs="georgia" w:ascii="georgia" w:hAnsi="georgia"/>
          <w:color w:val="000000"/>
          <w:sz w:val="21"/>
        </w:rPr>
        <w:t xml:space="preserve">Compare localized vs systemic administration patterns in animal injury models.</w:t>
      </w:r>
    </w:p>
    <w:p>
      <w:pPr>
        <w:spacing w:line="360" w:before="315" w:after="105" w:lineRule="auto"/>
        <w:ind w:left="-30"/>
        <w:jc w:val="left"/>
      </w:pPr>
      <w:bookmarkStart w:id="11" w:name="bm_2_angiogenesis_and_microvascul_99755d"/>
      <w:r>
        <w:rPr>
          <w:rFonts w:eastAsia="georgia" w:cs="georgia" w:ascii="georgia" w:hAnsi="georgia"/>
          <w:b/>
          <w:color w:val="000000"/>
          <w:sz w:val="24"/>
        </w:rPr>
        <w:t xml:space="preserve">2. Angiogenesis and microvascular research</w:t>
      </w:r>
      <w:bookmarkEnd w:id="11"/>
    </w:p>
    <w:p>
      <w:pPr>
        <w:spacing w:line="360" w:after="210" w:lineRule="auto"/>
      </w:pPr>
      <w:r>
        <w:rPr>
          <w:rFonts w:eastAsia="georgia" w:cs="georgia" w:ascii="georgia" w:hAnsi="georgia"/>
          <w:color w:val="000000"/>
        </w:rPr>
        <w:t xml:space="preserve">Both peptides have been associated with pro‑angiogenic signalling in experimental systems:</w:t>
      </w:r>
    </w:p>
    <w:p>
      <w:pPr>
        <w:numPr>
          <w:ilvl w:val="0"/>
          <w:numId w:val="4"/>
        </w:numPr>
        <w:spacing w:line="360" w:before="105" w:after="105" w:lineRule="auto"/>
      </w:pPr>
      <w:r>
        <w:rPr>
          <w:rFonts w:eastAsia="georgia" w:cs="georgia" w:ascii="georgia" w:hAnsi="georgia"/>
          <w:color w:val="000000"/>
          <w:sz w:val="21"/>
        </w:rPr>
        <w:t xml:space="preserve">BPC‑157 is investigated for its influence on endothelial cell proliferation, migration, and microvascular integrity, including ERK1/2 activation and VEGF‑related pathways.[web:113][web:116][web:117]</w:t>
      </w:r>
    </w:p>
    <w:p>
      <w:pPr>
        <w:numPr>
          <w:ilvl w:val="0"/>
          <w:numId w:val="4"/>
        </w:numPr>
        <w:spacing w:line="360" w:before="105" w:after="105" w:lineRule="auto"/>
      </w:pPr>
      <w:r>
        <w:rPr>
          <w:rFonts w:eastAsia="georgia" w:cs="georgia" w:ascii="georgia" w:hAnsi="georgia"/>
          <w:color w:val="000000"/>
          <w:sz w:val="21"/>
        </w:rPr>
        <w:t xml:space="preserve">TB‑500, derived from thymosin beta‑4, has been studied for its role in endothelial cell migration, neovessel formation, and capillary network development in wound and ischemia models.[web:115][web:119]</w:t>
      </w:r>
    </w:p>
    <w:p>
      <w:pPr>
        <w:spacing w:line="360" w:after="210" w:lineRule="auto"/>
      </w:pPr>
      <w:r>
        <w:rPr>
          <w:rFonts w:eastAsia="georgia" w:cs="georgia" w:ascii="georgia" w:hAnsi="georgia"/>
          <w:color w:val="000000"/>
        </w:rPr>
        <w:t xml:space="preserve">Using the blend, researchers can evaluate multi‑factorial effects on capillary ingrowth, perfusion, and microvascular remodeling.</w:t>
      </w:r>
    </w:p>
    <w:p>
      <w:pPr>
        <w:spacing w:line="360" w:before="315" w:after="105" w:lineRule="auto"/>
        <w:ind w:left="-30"/>
        <w:jc w:val="left"/>
      </w:pPr>
      <w:bookmarkStart w:id="12" w:name="bm_3_cell_migration_and_cytoskele_84b684"/>
      <w:r>
        <w:rPr>
          <w:rFonts w:eastAsia="georgia" w:cs="georgia" w:ascii="georgia" w:hAnsi="georgia"/>
          <w:b/>
          <w:color w:val="000000"/>
          <w:sz w:val="24"/>
        </w:rPr>
        <w:t xml:space="preserve">3. Cell migration and cytoskeletal dynamics</w:t>
      </w:r>
      <w:bookmarkEnd w:id="12"/>
    </w:p>
    <w:p>
      <w:pPr>
        <w:spacing w:line="360" w:after="210" w:lineRule="auto"/>
      </w:pPr>
      <w:r>
        <w:rPr>
          <w:rFonts w:eastAsia="georgia" w:cs="georgia" w:ascii="georgia" w:hAnsi="georgia"/>
          <w:color w:val="000000"/>
        </w:rPr>
        <w:t xml:space="preserve">Actin dynamics are central to cell movement, shape change, and tissue remodeling. TB‑500’s LKKTETQ motif binds G‑actin and modulates F‑actin assembly, making it a useful tool for cytoskeletal and motility studies.[web:115][web:118][web:124] BPC‑157 has been reported to affect cell migration in fibroblasts and other cell types, potentially via growth‑factor receptors and focal‑adhesion signaling.[web:113][web:116]</w:t>
      </w:r>
    </w:p>
    <w:p>
      <w:pPr>
        <w:spacing w:line="360" w:after="210" w:lineRule="auto"/>
      </w:pPr>
      <w:r>
        <w:rPr>
          <w:rFonts w:eastAsia="georgia" w:cs="georgia" w:ascii="georgia" w:hAnsi="georgia"/>
          <w:color w:val="000000"/>
        </w:rPr>
        <w:t xml:space="preserve">The pre‑mixed formulation supports experiments that interrogate:</w:t>
      </w:r>
    </w:p>
    <w:p>
      <w:pPr>
        <w:numPr>
          <w:ilvl w:val="0"/>
          <w:numId w:val="5"/>
        </w:numPr>
        <w:spacing w:line="360" w:before="105" w:after="105" w:lineRule="auto"/>
      </w:pPr>
      <w:r>
        <w:rPr>
          <w:rFonts w:eastAsia="georgia" w:cs="georgia" w:ascii="georgia" w:hAnsi="georgia"/>
          <w:color w:val="000000"/>
          <w:sz w:val="21"/>
        </w:rPr>
        <w:t xml:space="preserve">Combined effects on fibroblast and endothelial cell migration.</w:t>
      </w:r>
    </w:p>
    <w:p>
      <w:pPr>
        <w:numPr>
          <w:ilvl w:val="0"/>
          <w:numId w:val="5"/>
        </w:numPr>
        <w:spacing w:line="360" w:before="105" w:after="105" w:lineRule="auto"/>
      </w:pPr>
      <w:r>
        <w:rPr>
          <w:rFonts w:eastAsia="georgia" w:cs="georgia" w:ascii="georgia" w:hAnsi="georgia"/>
          <w:color w:val="000000"/>
          <w:sz w:val="21"/>
        </w:rPr>
        <w:t xml:space="preserve">Cytoskeletal rearrangement and focal‑adhesion dynamics.</w:t>
      </w:r>
    </w:p>
    <w:p>
      <w:pPr>
        <w:numPr>
          <w:ilvl w:val="0"/>
          <w:numId w:val="5"/>
        </w:numPr>
        <w:spacing w:line="360" w:before="105" w:after="105" w:lineRule="auto"/>
      </w:pPr>
      <w:r>
        <w:rPr>
          <w:rFonts w:eastAsia="georgia" w:cs="georgia" w:ascii="georgia" w:hAnsi="georgia"/>
          <w:color w:val="000000"/>
          <w:sz w:val="21"/>
        </w:rPr>
        <w:t xml:space="preserve">Multi‑cellular wound‑closure assays in vitro.</w:t>
      </w:r>
    </w:p>
    <w:p>
      <w:pPr>
        <w:spacing w:line="360" w:before="315" w:after="105" w:lineRule="auto"/>
        <w:ind w:left="-30"/>
        <w:jc w:val="left"/>
      </w:pPr>
      <w:bookmarkStart w:id="13" w:name="bm_4_inflammation_and_tissue_prot_50d891"/>
      <w:r>
        <w:rPr>
          <w:rFonts w:eastAsia="georgia" w:cs="georgia" w:ascii="georgia" w:hAnsi="georgia"/>
          <w:b/>
          <w:color w:val="000000"/>
          <w:sz w:val="24"/>
        </w:rPr>
        <w:t xml:space="preserve">4. Inflammation and tissue‑protection models</w:t>
      </w:r>
      <w:bookmarkEnd w:id="13"/>
    </w:p>
    <w:p>
      <w:pPr>
        <w:spacing w:line="360" w:after="210" w:lineRule="auto"/>
      </w:pPr>
      <w:r>
        <w:rPr>
          <w:rFonts w:eastAsia="georgia" w:cs="georgia" w:ascii="georgia" w:hAnsi="georgia"/>
          <w:color w:val="000000"/>
        </w:rPr>
        <w:t xml:space="preserve">Preclinical work has explored BPC‑157’s ability to modulate inflammatory mediators and protect against diverse lesions in the gut, liver, CNS, and musculoskeletal tissues.[web:113][web:114][web:122] TB‑500 and thymosin beta‑4 have been examined for roles in resolving inflammation and limiting tissue damage after injury or ischemia.[web:115][web:119]</w:t>
      </w:r>
    </w:p>
    <w:p>
      <w:pPr>
        <w:spacing w:line="360" w:after="210" w:lineRule="auto"/>
      </w:pPr>
      <w:r>
        <w:rPr>
          <w:rFonts w:eastAsia="georgia" w:cs="georgia" w:ascii="georgia" w:hAnsi="georgia"/>
          <w:color w:val="000000"/>
        </w:rPr>
        <w:t xml:space="preserve">The blend is therefore used to:</w:t>
      </w:r>
    </w:p>
    <w:p>
      <w:pPr>
        <w:numPr>
          <w:ilvl w:val="0"/>
          <w:numId w:val="6"/>
        </w:numPr>
        <w:spacing w:line="360" w:before="105" w:after="105" w:lineRule="auto"/>
      </w:pPr>
      <w:r>
        <w:rPr>
          <w:rFonts w:eastAsia="georgia" w:cs="georgia" w:ascii="georgia" w:hAnsi="georgia"/>
          <w:color w:val="000000"/>
          <w:sz w:val="21"/>
        </w:rPr>
        <w:t xml:space="preserve">Study combined peptide effects on edema, cytokine profiles, and histological injury scores.</w:t>
      </w:r>
    </w:p>
    <w:p>
      <w:pPr>
        <w:numPr>
          <w:ilvl w:val="0"/>
          <w:numId w:val="6"/>
        </w:numPr>
        <w:spacing w:line="360" w:before="105" w:after="105" w:lineRule="auto"/>
      </w:pPr>
      <w:r>
        <w:rPr>
          <w:rFonts w:eastAsia="georgia" w:cs="georgia" w:ascii="georgia" w:hAnsi="georgia"/>
          <w:color w:val="000000"/>
          <w:sz w:val="21"/>
        </w:rPr>
        <w:t xml:space="preserve">Investigate cytoprotective mechanisms in ischemia‑reperfusion or toxin‑exposure models.</w:t>
      </w:r>
    </w:p>
    <w:p>
      <w:pPr>
        <w:numPr>
          <w:ilvl w:val="0"/>
          <w:numId w:val="6"/>
        </w:numPr>
        <w:spacing w:line="360" w:before="105" w:after="105" w:lineRule="auto"/>
      </w:pPr>
      <w:r>
        <w:rPr>
          <w:rFonts w:eastAsia="georgia" w:cs="georgia" w:ascii="georgia" w:hAnsi="georgia"/>
          <w:color w:val="000000"/>
          <w:sz w:val="21"/>
        </w:rPr>
        <w:t xml:space="preserve">Explore how dual‑pathway modulation may influence recovery timelines in animal studies.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form_handling_and_storage"/>
      <w:r>
        <w:rPr>
          <w:rFonts w:eastAsia="georgia" w:cs="georgia" w:ascii="georgia" w:hAnsi="georgia"/>
          <w:b/>
          <w:color w:val="000000"/>
          <w:sz w:val="24"/>
        </w:rPr>
        <w:t xml:space="preserve">Form, handling, and storage</w:t>
      </w:r>
      <w:bookmarkEnd w:id="14"/>
    </w:p>
    <w:p>
      <w:pPr>
        <w:spacing w:line="360" w:before="315" w:after="105" w:lineRule="auto"/>
        <w:ind w:left="-30"/>
        <w:jc w:val="left"/>
      </w:pPr>
      <w:bookmarkStart w:id="15" w:name="lyophilized_blend_storage"/>
      <w:r>
        <w:rPr>
          <w:rFonts w:eastAsia="georgia" w:cs="georgia" w:ascii="georgia" w:hAnsi="georgia"/>
          <w:b/>
          <w:color w:val="000000"/>
          <w:sz w:val="24"/>
        </w:rPr>
        <w:t xml:space="preserve">Lyophilized blend storage</w:t>
      </w:r>
      <w:bookmarkEnd w:id="15"/>
    </w:p>
    <w:p>
      <w:pPr>
        <w:numPr>
          <w:ilvl w:val="0"/>
          <w:numId w:val="7"/>
        </w:numPr>
        <w:spacing w:line="360" w:before="105" w:after="105" w:lineRule="auto"/>
      </w:pPr>
      <w:r>
        <w:rPr>
          <w:rFonts w:eastAsia="georgia" w:cs="georgia" w:ascii="georgia" w:hAnsi="georgia"/>
          <w:color w:val="000000"/>
          <w:sz w:val="21"/>
        </w:rPr>
        <w:t xml:space="preserve">Store unopened vials at 2–8 °C in a dry, dark environment.</w:t>
      </w:r>
    </w:p>
    <w:p>
      <w:pPr>
        <w:numPr>
          <w:ilvl w:val="0"/>
          <w:numId w:val="7"/>
        </w:numPr>
        <w:spacing w:line="360" w:before="105" w:after="105" w:lineRule="auto"/>
      </w:pPr>
      <w:r>
        <w:rPr>
          <w:rFonts w:eastAsia="georgia" w:cs="georgia" w:ascii="georgia" w:hAnsi="georgia"/>
          <w:color w:val="000000"/>
          <w:sz w:val="21"/>
        </w:rPr>
        <w:t xml:space="preserve">For longer‑term storage, freezing at −20 °C or below is commonly used for peptide formulations; laboratories should follow internal stability data and handling SOPs.[web:123][web:124]</w:t>
      </w:r>
    </w:p>
    <w:p>
      <w:pPr>
        <w:spacing w:line="360" w:before="315" w:after="105" w:lineRule="auto"/>
        <w:ind w:left="-30"/>
        <w:jc w:val="left"/>
      </w:pPr>
      <w:bookmarkStart w:id="16" w:name="reconstitution"/>
      <w:r>
        <w:rPr>
          <w:rFonts w:eastAsia="georgia" w:cs="georgia" w:ascii="georgia" w:hAnsi="georgia"/>
          <w:b/>
          <w:color w:val="000000"/>
          <w:sz w:val="24"/>
        </w:rPr>
        <w:t xml:space="preserve">Reconstitution</w:t>
      </w:r>
      <w:bookmarkEnd w:id="16"/>
    </w:p>
    <w:p>
      <w:pPr>
        <w:numPr>
          <w:ilvl w:val="0"/>
          <w:numId w:val="8"/>
        </w:numPr>
        <w:spacing w:line="360" w:before="105" w:after="105" w:lineRule="auto"/>
      </w:pPr>
      <w:r>
        <w:rPr>
          <w:rFonts w:eastAsia="georgia" w:cs="georgia" w:ascii="georgia" w:hAnsi="georgia"/>
          <w:color w:val="000000"/>
          <w:sz w:val="21"/>
        </w:rPr>
        <w:t xml:space="preserve">Reconstitute under aseptic conditions using bacteriostatic water (0.9% benzyl alcohol) or another sterile, peptide‑compatible buffer.</w:t>
      </w:r>
    </w:p>
    <w:p>
      <w:pPr>
        <w:numPr>
          <w:ilvl w:val="0"/>
          <w:numId w:val="8"/>
        </w:numPr>
        <w:spacing w:line="360" w:before="105" w:after="105" w:lineRule="auto"/>
      </w:pPr>
      <w:r>
        <w:rPr>
          <w:rFonts w:eastAsia="georgia" w:cs="georgia" w:ascii="georgia" w:hAnsi="georgia"/>
          <w:color w:val="000000"/>
          <w:sz w:val="21"/>
        </w:rPr>
        <w:t xml:space="preserve">Allow the vial to reach room temperature briefly, then add solvent slowly along the inner wall.</w:t>
      </w:r>
    </w:p>
    <w:p>
      <w:pPr>
        <w:numPr>
          <w:ilvl w:val="0"/>
          <w:numId w:val="8"/>
        </w:numPr>
        <w:spacing w:line="360" w:before="105" w:after="105" w:lineRule="auto"/>
      </w:pPr>
      <w:r>
        <w:rPr>
          <w:rFonts w:eastAsia="georgia" w:cs="georgia" w:ascii="georgia" w:hAnsi="georgia"/>
          <w:color w:val="000000"/>
          <w:sz w:val="21"/>
        </w:rPr>
        <w:t xml:space="preserve">Gently swirl until the powder is fully dissolved; avoid vigorous shaking.</w:t>
      </w:r>
    </w:p>
    <w:p>
      <w:pPr>
        <w:numPr>
          <w:ilvl w:val="0"/>
          <w:numId w:val="8"/>
        </w:numPr>
        <w:spacing w:line="360" w:before="105" w:after="105" w:lineRule="auto"/>
      </w:pPr>
      <w:r>
        <w:rPr>
          <w:rFonts w:eastAsia="georgia" w:cs="georgia" w:ascii="georgia" w:hAnsi="georgia"/>
          <w:color w:val="000000"/>
          <w:sz w:val="21"/>
        </w:rPr>
        <w:t xml:space="preserve">Calculate final concentration based on the combined 10 mg content (5 mg BPC‑157 + 5 mg TB‑500) and document working stocks accordingly.</w:t>
      </w:r>
    </w:p>
    <w:p>
      <w:pPr>
        <w:spacing w:line="360" w:before="315" w:after="105" w:lineRule="auto"/>
        <w:ind w:left="-30"/>
        <w:jc w:val="left"/>
      </w:pPr>
      <w:bookmarkStart w:id="17" w:name="reconstituted_solution_storage"/>
      <w:r>
        <w:rPr>
          <w:rFonts w:eastAsia="georgia" w:cs="georgia" w:ascii="georgia" w:hAnsi="georgia"/>
          <w:b/>
          <w:color w:val="000000"/>
          <w:sz w:val="24"/>
        </w:rPr>
        <w:t xml:space="preserve">Reconstituted solution storage</w:t>
      </w:r>
      <w:bookmarkEnd w:id="17"/>
    </w:p>
    <w:p>
      <w:pPr>
        <w:numPr>
          <w:ilvl w:val="0"/>
          <w:numId w:val="9"/>
        </w:numPr>
        <w:spacing w:line="360" w:before="105" w:after="105" w:lineRule="auto"/>
      </w:pPr>
      <w:r>
        <w:rPr>
          <w:rFonts w:eastAsia="georgia" w:cs="georgia" w:ascii="georgia" w:hAnsi="georgia"/>
          <w:color w:val="000000"/>
          <w:sz w:val="21"/>
        </w:rPr>
        <w:t xml:space="preserve">For short‑term use, store at 2–8 °C and use within a limited time window consistent with internal stability and sterility data.</w:t>
      </w:r>
    </w:p>
    <w:p>
      <w:pPr>
        <w:numPr>
          <w:ilvl w:val="0"/>
          <w:numId w:val="9"/>
        </w:numPr>
        <w:spacing w:line="360" w:before="105" w:after="105" w:lineRule="auto"/>
      </w:pPr>
      <w:r>
        <w:rPr>
          <w:rFonts w:eastAsia="georgia" w:cs="georgia" w:ascii="georgia" w:hAnsi="georgia"/>
          <w:color w:val="000000"/>
          <w:sz w:val="21"/>
        </w:rPr>
        <w:t xml:space="preserve">For extended work, divide into aliquots and freeze at −20 °C or below, minimizing freeze–thaw cycles.</w:t>
      </w:r>
    </w:p>
    <w:p>
      <w:pPr>
        <w:numPr>
          <w:ilvl w:val="0"/>
          <w:numId w:val="9"/>
        </w:numPr>
        <w:spacing w:line="360" w:before="105" w:after="105" w:lineRule="auto"/>
      </w:pPr>
      <w:r>
        <w:rPr>
          <w:rFonts w:eastAsia="georgia" w:cs="georgia" w:ascii="georgia" w:hAnsi="georgia"/>
          <w:color w:val="000000"/>
          <w:sz w:val="21"/>
        </w:rPr>
        <w:t xml:space="preserve">Inspect visually before each use and discard if turbidity, particulate matter, or discoloration is observed.[web:123]</w:t>
      </w:r>
    </w:p>
    <w:p>
      <w:pPr>
        <w:spacing w:line="360" w:after="210" w:lineRule="auto"/>
      </w:pPr>
      <w:r>
        <w:rPr>
          <w:rFonts w:eastAsia="georgia" w:cs="georgia" w:ascii="georgia" w:hAnsi="georgia"/>
          <w:color w:val="000000"/>
        </w:rPr>
        <w:t xml:space="preserve">Each laboratory should validate stability under its own conditions and follow institutional quality requirements.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analytical_quality_and_testing"/>
      <w:r>
        <w:rPr>
          <w:rFonts w:eastAsia="georgia" w:cs="georgia" w:ascii="georgia" w:hAnsi="georgia"/>
          <w:b/>
          <w:color w:val="000000"/>
          <w:sz w:val="24"/>
        </w:rPr>
        <w:t xml:space="preserve">Analytical quality and testing</w:t>
      </w:r>
      <w:bookmarkEnd w:id="18"/>
    </w:p>
    <w:p>
      <w:pPr>
        <w:spacing w:line="360" w:after="210" w:lineRule="auto"/>
      </w:pPr>
      <w:r>
        <w:rPr>
          <w:rFonts w:eastAsia="georgia" w:cs="georgia" w:ascii="georgia" w:hAnsi="georgia"/>
          <w:color w:val="000000"/>
        </w:rPr>
        <w:t xml:space="preserve">Typical analytical controls for a dual‑peptide blend include:</w:t>
      </w:r>
    </w:p>
    <w:p>
      <w:pPr>
        <w:numPr>
          <w:ilvl w:val="0"/>
          <w:numId w:val="10"/>
        </w:numPr>
        <w:spacing w:line="360" w:before="105" w:after="105" w:lineRule="auto"/>
      </w:pPr>
      <w:r>
        <w:rPr>
          <w:rFonts w:eastAsia="georgia" w:cs="georgia" w:ascii="georgia" w:hAnsi="georgia"/>
          <w:b/>
          <w:color w:val="000000"/>
          <w:sz w:val="21"/>
        </w:rPr>
        <w:t xml:space="preserve">Purity</w:t>
      </w:r>
    </w:p>
    <w:p>
      <w:pPr>
        <w:numPr>
          <w:ilvl w:val="1"/>
          <w:numId w:val="10"/>
        </w:numPr>
        <w:spacing w:line="360" w:before="105" w:after="105" w:lineRule="auto"/>
      </w:pPr>
      <w:r>
        <w:rPr>
          <w:rFonts w:eastAsia="georgia" w:cs="georgia" w:ascii="georgia" w:hAnsi="georgia"/>
          <w:color w:val="000000"/>
          <w:sz w:val="21"/>
        </w:rPr>
        <w:t xml:space="preserve">Reversed‑phase HPLC demonstrating high purity for the overall blend and for each component peak.[web:111][web:123]</w:t>
      </w:r>
    </w:p>
    <w:p>
      <w:pPr>
        <w:numPr>
          <w:ilvl w:val="0"/>
          <w:numId w:val="10"/>
        </w:numPr>
        <w:spacing w:line="360" w:before="105" w:after="105" w:lineRule="auto"/>
      </w:pPr>
      <w:r>
        <w:rPr>
          <w:rFonts w:eastAsia="georgia" w:cs="georgia" w:ascii="georgia" w:hAnsi="georgia"/>
          <w:b/>
          <w:color w:val="000000"/>
          <w:sz w:val="21"/>
        </w:rPr>
        <w:t xml:space="preserve">Identity</w:t>
      </w:r>
    </w:p>
    <w:p>
      <w:pPr>
        <w:numPr>
          <w:ilvl w:val="1"/>
          <w:numId w:val="10"/>
        </w:numPr>
        <w:spacing w:line="360" w:before="105" w:after="105" w:lineRule="auto"/>
      </w:pPr>
      <w:r>
        <w:rPr>
          <w:rFonts w:eastAsia="georgia" w:cs="georgia" w:ascii="georgia" w:hAnsi="georgia"/>
          <w:color w:val="000000"/>
          <w:sz w:val="21"/>
        </w:rPr>
        <w:t xml:space="preserve">Mass spectrometry confirming expected molecular weights for BPC‑157 (~1419.6 g/mol) and TB‑500 (~889 g/mol) and characteristic fragment patterns.[web:111][web:121][web:124]</w:t>
      </w:r>
    </w:p>
    <w:p>
      <w:pPr>
        <w:numPr>
          <w:ilvl w:val="0"/>
          <w:numId w:val="10"/>
        </w:numPr>
        <w:spacing w:line="360" w:before="105" w:after="105" w:lineRule="auto"/>
      </w:pPr>
      <w:r>
        <w:rPr>
          <w:rFonts w:eastAsia="georgia" w:cs="georgia" w:ascii="georgia" w:hAnsi="georgia"/>
          <w:b/>
          <w:color w:val="000000"/>
          <w:sz w:val="21"/>
        </w:rPr>
        <w:t xml:space="preserve">Blend ratio</w:t>
      </w:r>
    </w:p>
    <w:p>
      <w:pPr>
        <w:numPr>
          <w:ilvl w:val="1"/>
          <w:numId w:val="10"/>
        </w:numPr>
        <w:spacing w:line="360" w:before="105" w:after="105" w:lineRule="auto"/>
      </w:pPr>
      <w:r>
        <w:rPr>
          <w:rFonts w:eastAsia="georgia" w:cs="georgia" w:ascii="georgia" w:hAnsi="georgia"/>
          <w:color w:val="000000"/>
          <w:sz w:val="21"/>
        </w:rPr>
        <w:t xml:space="preserve">HPLC peak area or quantitative methods verifying an approximate 1:1 ratio of BPC‑157 to TB‑500 within acceptance limits.</w:t>
      </w:r>
    </w:p>
    <w:p>
      <w:pPr>
        <w:numPr>
          <w:ilvl w:val="0"/>
          <w:numId w:val="10"/>
        </w:numPr>
        <w:spacing w:line="360" w:before="105" w:after="105" w:lineRule="auto"/>
      </w:pPr>
      <w:r>
        <w:rPr>
          <w:rFonts w:eastAsia="georgia" w:cs="georgia" w:ascii="georgia" w:hAnsi="georgia"/>
          <w:b/>
          <w:color w:val="000000"/>
          <w:sz w:val="21"/>
        </w:rPr>
        <w:t xml:space="preserve">Additional testing</w:t>
      </w:r>
    </w:p>
    <w:p>
      <w:pPr>
        <w:numPr>
          <w:ilvl w:val="1"/>
          <w:numId w:val="10"/>
        </w:numPr>
        <w:spacing w:line="360" w:before="105" w:after="105" w:lineRule="auto"/>
      </w:pPr>
      <w:r>
        <w:rPr>
          <w:rFonts w:eastAsia="georgia" w:cs="georgia" w:ascii="georgia" w:hAnsi="georgia"/>
          <w:color w:val="000000"/>
          <w:sz w:val="21"/>
        </w:rPr>
        <w:t xml:space="preserve">Endotoxin testing and microbial assessments appropriate for research‑grade peptide materials.</w:t>
      </w:r>
    </w:p>
    <w:p>
      <w:pPr>
        <w:numPr>
          <w:ilvl w:val="1"/>
          <w:numId w:val="10"/>
        </w:numPr>
        <w:spacing w:line="360" w:before="105" w:after="105" w:lineRule="auto"/>
      </w:pPr>
      <w:r>
        <w:rPr>
          <w:rFonts w:eastAsia="georgia" w:cs="georgia" w:ascii="georgia" w:hAnsi="georgia"/>
          <w:color w:val="000000"/>
          <w:sz w:val="21"/>
        </w:rPr>
        <w:t xml:space="preserve">Residual solvent and water‑content measurements in line with relevant guidelines.</w:t>
      </w:r>
    </w:p>
    <w:p>
      <w:pPr>
        <w:spacing w:line="360" w:after="210" w:lineRule="auto"/>
      </w:pPr>
      <w:r>
        <w:rPr>
          <w:rFonts w:eastAsia="georgia" w:cs="georgia" w:ascii="georgia" w:hAnsi="georgia"/>
          <w:color w:val="000000"/>
        </w:rPr>
        <w:t xml:space="preserve">Researchers should consult the batch‑specific Certificate of Analysis (COA) for precise values and acceptance criteria for each lot.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positioning_for_a_research_ecomme_d73034"/>
      <w:r>
        <w:rPr>
          <w:rFonts w:eastAsia="georgia" w:cs="georgia" w:ascii="georgia" w:hAnsi="georgia"/>
          <w:b/>
          <w:color w:val="000000"/>
          <w:sz w:val="24"/>
        </w:rPr>
        <w:t xml:space="preserve">Positioning for a research‑ecommerce catalog</w:t>
      </w:r>
      <w:bookmarkEnd w:id="19"/>
    </w:p>
    <w:p>
      <w:pPr>
        <w:spacing w:line="360" w:after="210" w:lineRule="auto"/>
      </w:pPr>
      <w:r>
        <w:rPr>
          <w:rFonts w:eastAsia="georgia" w:cs="georgia" w:ascii="georgia" w:hAnsi="georgia"/>
          <w:color w:val="000000"/>
        </w:rPr>
        <w:t xml:space="preserve">For a catalog focused on laboratory buyers, clarity around composition, mechanisms, and usage boundaries is critical.</w:t>
      </w:r>
    </w:p>
    <w:p>
      <w:pPr>
        <w:spacing w:line="360" w:after="210" w:lineRule="auto"/>
      </w:pPr>
      <w:r>
        <w:rPr>
          <w:rFonts w:eastAsia="georgia" w:cs="georgia" w:ascii="georgia" w:hAnsi="georgia"/>
          <w:color w:val="000000"/>
        </w:rPr>
        <w:t xml:space="preserve">This product description:</w:t>
      </w:r>
    </w:p>
    <w:p>
      <w:pPr>
        <w:numPr>
          <w:ilvl w:val="0"/>
          <w:numId w:val="11"/>
        </w:numPr>
        <w:spacing w:line="360" w:before="105" w:after="105" w:lineRule="auto"/>
      </w:pPr>
      <w:r>
        <w:rPr>
          <w:rFonts w:eastAsia="georgia" w:cs="georgia" w:ascii="georgia" w:hAnsi="georgia"/>
          <w:color w:val="000000"/>
          <w:sz w:val="21"/>
        </w:rPr>
        <w:t xml:space="preserve">Clearly identifies the 5 mg / 5 mg composition and the sequences, formulae, and molecular weights of each peptide.[web:111][web:117][web:124]</w:t>
      </w:r>
    </w:p>
    <w:p>
      <w:pPr>
        <w:numPr>
          <w:ilvl w:val="0"/>
          <w:numId w:val="11"/>
        </w:numPr>
        <w:spacing w:line="360" w:before="105" w:after="105" w:lineRule="auto"/>
      </w:pPr>
      <w:r>
        <w:rPr>
          <w:rFonts w:eastAsia="georgia" w:cs="georgia" w:ascii="georgia" w:hAnsi="georgia"/>
          <w:color w:val="000000"/>
          <w:sz w:val="21"/>
        </w:rPr>
        <w:t xml:space="preserve">Describes the scientific rationale for combining BPC‑157 and TB‑500 without making therapeutic or performance claims.[web:113][web:115][web:119]</w:t>
      </w:r>
    </w:p>
    <w:p>
      <w:pPr>
        <w:numPr>
          <w:ilvl w:val="0"/>
          <w:numId w:val="11"/>
        </w:numPr>
        <w:spacing w:line="360" w:before="105" w:after="105" w:lineRule="auto"/>
      </w:pPr>
      <w:r>
        <w:rPr>
          <w:rFonts w:eastAsia="georgia" w:cs="georgia" w:ascii="georgia" w:hAnsi="georgia"/>
          <w:color w:val="000000"/>
          <w:sz w:val="21"/>
        </w:rPr>
        <w:t xml:space="preserve">Provides practical handling, storage, and analytical‑quality details that support experimental planning.</w:t>
      </w:r>
    </w:p>
    <w:p>
      <w:pPr>
        <w:spacing w:line="360" w:after="210" w:lineRule="auto"/>
      </w:pPr>
      <w:r>
        <w:rPr>
          <w:rFonts w:eastAsia="georgia" w:cs="georgia" w:ascii="georgia" w:hAnsi="georgia"/>
          <w:color w:val="000000"/>
        </w:rPr>
        <w:t xml:space="preserve">You can deploy this copy as your main product description or split it into on‑page text plus a downloadable technical data sheet.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research_use_only_and_safety_notice"/>
      <w:r>
        <w:rPr>
          <w:rFonts w:eastAsia="georgia" w:cs="georgia" w:ascii="georgia" w:hAnsi="georgia"/>
          <w:b/>
          <w:color w:val="000000"/>
          <w:sz w:val="24"/>
        </w:rPr>
        <w:t xml:space="preserve">Research‑use‑only and safety notice</w:t>
      </w:r>
      <w:bookmarkEnd w:id="20"/>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The BPC‑157 (5 mg) + TB‑500 (5 mg) Blend is supplied exclusively as a research peptide formulation for in‑vitro studies and in‑vivo animal experiments conducted under institutional oversight. It has not been evaluated or approved by the FDA, EMA, or other regulatory authorities for human therapy, performance enhancement, or dietary use.[web:118][web:120][web:122]</w:t>
      </w:r>
    </w:p>
    <w:p>
      <w:pPr>
        <w:spacing w:line="360" w:after="210" w:lineRule="auto"/>
        <w:ind w:left="630"/>
      </w:pPr>
      <w:r>
        <w:rPr>
          <w:rFonts w:eastAsia="georgia" w:cs="georgia" w:ascii="georgia" w:hAnsi="georgia"/>
          <w:color w:val="000000"/>
        </w:rPr>
        <w:t xml:space="preserve">This product must not be used for diagnosis, treatment, mitigation, cure, or prevention of any disease, and must not be administered to humans or animals outside properly approved research protocols. All handling should follow applicable biosafety, chemical safety, and waste‑disposal regulations.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2026-04-30T09:23:00.913Z</dcterms:created>
  <dcterms:modified xsi:type="dcterms:W3CDTF">2026-04-30T09:23:00.913Z</dcterms:modified>
</cp:coreProperties>
</file>