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bpc_157_5_mg_stable_gastric_penta_a7e753"/>
      <w:r>
        <w:rPr>
          <w:rFonts w:eastAsia="georgia" w:cs="georgia" w:ascii="georgia" w:hAnsi="georgia"/>
          <w:b/>
          <w:color w:val="000000"/>
          <w:sz w:val="39"/>
        </w:rPr>
        <w:t xml:space="preserve">BPC‑157 5 mg – Stable Gastric Pentadecapeptide Research Peptide</w:t>
      </w:r>
      <w:bookmarkEnd w:id="0"/>
    </w:p>
    <w:p>
      <w:pPr>
        <w:spacing w:line="360" w:before="315" w:after="105" w:lineRule="auto"/>
        <w:ind w:left="-30"/>
        <w:jc w:val="left"/>
      </w:pPr>
      <w:bookmarkStart w:id="1" w:name="product_overview"/>
      <w:r>
        <w:rPr>
          <w:rFonts w:eastAsia="georgia" w:cs="georgia" w:ascii="georgia" w:hAnsi="georgia"/>
          <w:b/>
          <w:color w:val="000000"/>
          <w:sz w:val="24"/>
        </w:rPr>
        <w:t xml:space="preserve">Product overview</w:t>
      </w:r>
      <w:bookmarkEnd w:id="1"/>
    </w:p>
    <w:p>
      <w:pPr>
        <w:spacing w:line="360" w:after="210" w:lineRule="auto"/>
      </w:pPr>
      <w:r>
        <w:rPr>
          <w:rFonts w:eastAsia="georgia" w:cs="georgia" w:ascii="georgia" w:hAnsi="georgia"/>
          <w:color w:val="000000"/>
        </w:rPr>
        <w:t xml:space="preserve">BPC‑157 (Body Protection Compound‑157) is a synthetic pentadecapeptide composed of 15 amino acids, derived from a partial sequence of a protective protein found in human gastric juice.[web:120][web:128] It is studied in preclinical models for its cytoprotective, pro‑angiogenic, and tissue‑repair–related signalling effects in a range of organ systems.[web:113][web:114][web:138]</w:t>
      </w:r>
    </w:p>
    <w:p>
      <w:pPr>
        <w:spacing w:line="360" w:after="210" w:lineRule="auto"/>
      </w:pPr>
      <w:r>
        <w:rPr>
          <w:rFonts w:eastAsia="georgia" w:cs="georgia" w:ascii="georgia" w:hAnsi="georgia"/>
          <w:color w:val="000000"/>
        </w:rPr>
        <w:t xml:space="preserve">The BPC‑157 5 mg vial provides a defined amount of lyophilized peptide suitable for in‑vitro assays and in‑vivo animal studies where lower quantities or dose titration are required. This material is intended strictly for laboratory research and is not approved for human or veterinary use.[web:120][web:131]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quick_product_snapshot"/>
      <w:r>
        <w:rPr>
          <w:rFonts w:eastAsia="georgia" w:cs="georgia" w:ascii="georgia" w:hAnsi="georgia"/>
          <w:b/>
          <w:color w:val="000000"/>
          <w:sz w:val="24"/>
        </w:rPr>
        <w:t xml:space="preserve">Quick product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BPC‑157 5 mg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Peptide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Synthetic pentadecapeptide (15 amino acids)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Content per vial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 mg lyophilized peptide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Sequence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Gly‑Glu‑Pro‑Pro‑Pro‑Gly‑Lys‑Pro‑Ala‑Asp‑Asp‑Ala‑Gly‑Leu‑Val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Molecular formula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C₆₂H₉₈N₁₆O₂₂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Molecular weight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~1419.5 g/mol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 number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137525‑51‑0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PubChem CID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9941957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White to off‑white lyophilized powder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Storage (dry)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 °C or below, protected from light and moisture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Intended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In‑vitro and preclinical research only</w:t>
            </w:r>
          </w:p>
        </w:tc>
      </w:tr>
    </w:tbl>
    <w:p>
      <w:pPr>
        <w:spacing w:lineRule="auto"/>
      </w:pPr>
    </w:p>
    <w:p>
      <w:pPr>
        <w:spacing w:line="360" w:after="210" w:lineRule="auto"/>
      </w:pPr>
      <w:r>
        <w:rPr>
          <w:rFonts w:eastAsia="georgia" w:cs="georgia" w:ascii="georgia" w:hAnsi="georgia"/>
          <w:color w:val="000000"/>
        </w:rPr>
        <w:t xml:space="preserve">Sequence and chemical identifiers align with widely cited references for BPC‑157 research materials.[web:120][web:128][web:131]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dentity_and_origin"/>
      <w:r>
        <w:rPr>
          <w:rFonts w:eastAsia="georgia" w:cs="georgia" w:ascii="georgia" w:hAnsi="georgia"/>
          <w:b/>
          <w:color w:val="000000"/>
          <w:sz w:val="24"/>
        </w:rPr>
        <w:t xml:space="preserve">Identity and origin</w:t>
      </w:r>
      <w:bookmarkEnd w:id="3"/>
    </w:p>
    <w:p>
      <w:pPr>
        <w:spacing w:line="360" w:after="210" w:lineRule="auto"/>
      </w:pPr>
      <w:r>
        <w:rPr>
          <w:rFonts w:eastAsia="georgia" w:cs="georgia" w:ascii="georgia" w:hAnsi="georgia"/>
          <w:color w:val="000000"/>
        </w:rPr>
        <w:t xml:space="preserve">BPC‑157 is a fragment of a larger gastric peptide sometimes referred to as “body protection compound”, originally characterized as a mediator of mucosal protection and cytoprotection in the gastrointestinal tract.[web:120][web:132][web:135] The synthetic pentadecapeptide retains this partial sequence and shows unusual stability in human gastric juice and across a broad pH range, remaining intact for extended periods in vitro.[web:120][web:135][web:138]</w:t>
      </w:r>
    </w:p>
    <w:p>
      <w:pPr>
        <w:spacing w:line="360" w:after="210" w:lineRule="auto"/>
      </w:pPr>
      <w:r>
        <w:rPr>
          <w:rFonts w:eastAsia="georgia" w:cs="georgia" w:ascii="georgia" w:hAnsi="georgia"/>
          <w:color w:val="000000"/>
        </w:rPr>
        <w:t xml:space="preserve">Key identity points:</w:t>
      </w:r>
    </w:p>
    <w:p>
      <w:pPr>
        <w:numPr>
          <w:ilvl w:val="0"/>
          <w:numId w:val="1"/>
        </w:numPr>
        <w:spacing w:line="360" w:before="105" w:after="105" w:lineRule="auto"/>
      </w:pPr>
      <w:r>
        <w:rPr>
          <w:rFonts w:eastAsia="georgia" w:cs="georgia" w:ascii="georgia" w:hAnsi="georgia"/>
          <w:color w:val="000000"/>
          <w:sz w:val="21"/>
        </w:rPr>
        <w:t xml:space="preserve">Peptide classification: Synthetic pentadecapeptide.</w:t>
      </w:r>
    </w:p>
    <w:p>
      <w:pPr>
        <w:numPr>
          <w:ilvl w:val="0"/>
          <w:numId w:val="1"/>
        </w:numPr>
        <w:spacing w:line="360" w:before="105" w:after="105" w:lineRule="auto"/>
      </w:pPr>
      <w:r>
        <w:rPr>
          <w:rFonts w:eastAsia="georgia" w:cs="georgia" w:ascii="georgia" w:hAnsi="georgia"/>
          <w:color w:val="000000"/>
          <w:sz w:val="21"/>
        </w:rPr>
        <w:t xml:space="preserve">Sequence: Gly‑Glu‑Pro‑Pro‑Pro‑Gly‑Lys‑Pro‑Ala‑Asp‑Asp‑Ala‑Gly‑Leu‑Val.[web:120][web:128]</w:t>
      </w:r>
    </w:p>
    <w:p>
      <w:pPr>
        <w:numPr>
          <w:ilvl w:val="0"/>
          <w:numId w:val="1"/>
        </w:numPr>
        <w:spacing w:line="360" w:before="105" w:after="105" w:lineRule="auto"/>
      </w:pPr>
      <w:r>
        <w:rPr>
          <w:rFonts w:eastAsia="georgia" w:cs="georgia" w:ascii="georgia" w:hAnsi="georgia"/>
          <w:color w:val="000000"/>
          <w:sz w:val="21"/>
        </w:rPr>
        <w:t xml:space="preserve">Molecular formula: C₆₂H₉₈N₁₆O₂₂; molecular weight ~1419.5 g/mol.[web:131]</w:t>
      </w:r>
    </w:p>
    <w:p>
      <w:pPr>
        <w:numPr>
          <w:ilvl w:val="0"/>
          <w:numId w:val="1"/>
        </w:numPr>
        <w:spacing w:line="360" w:before="105" w:after="105" w:lineRule="auto"/>
      </w:pPr>
      <w:r>
        <w:rPr>
          <w:rFonts w:eastAsia="georgia" w:cs="georgia" w:ascii="georgia" w:hAnsi="georgia"/>
          <w:color w:val="000000"/>
          <w:sz w:val="21"/>
        </w:rPr>
        <w:t xml:space="preserve">Known synonyms: Body Protection Compound‑157, bepecin, PL 14736.[web:120][web:131]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cientific_background_non_clinical"/>
      <w:r>
        <w:rPr>
          <w:rFonts w:eastAsia="georgia" w:cs="georgia" w:ascii="georgia" w:hAnsi="georgia"/>
          <w:b/>
          <w:color w:val="000000"/>
          <w:sz w:val="24"/>
        </w:rPr>
        <w:t xml:space="preserve">Scientific background (non‑clinical)</w:t>
      </w:r>
      <w:bookmarkEnd w:id="4"/>
    </w:p>
    <w:p>
      <w:pPr>
        <w:spacing w:line="360" w:before="315" w:after="105" w:lineRule="auto"/>
        <w:ind w:left="-30"/>
        <w:jc w:val="left"/>
      </w:pPr>
      <w:bookmarkStart w:id="5" w:name="signalling_themes_in_experimental_127cf2"/>
      <w:r>
        <w:rPr>
          <w:rFonts w:eastAsia="georgia" w:cs="georgia" w:ascii="georgia" w:hAnsi="georgia"/>
          <w:b/>
          <w:color w:val="000000"/>
          <w:sz w:val="24"/>
        </w:rPr>
        <w:t xml:space="preserve">Signalling themes in experimental systems</w:t>
      </w:r>
      <w:bookmarkEnd w:id="5"/>
    </w:p>
    <w:p>
      <w:pPr>
        <w:spacing w:line="360" w:after="210" w:lineRule="auto"/>
      </w:pPr>
      <w:r>
        <w:rPr>
          <w:rFonts w:eastAsia="georgia" w:cs="georgia" w:ascii="georgia" w:hAnsi="georgia"/>
          <w:color w:val="000000"/>
        </w:rPr>
        <w:t xml:space="preserve">Across cell and animal models, BPC‑157 is reported to influence multiple signalling pathways linked to tissue protection and repair:</w:t>
      </w:r>
    </w:p>
    <w:p>
      <w:pPr>
        <w:numPr>
          <w:ilvl w:val="0"/>
          <w:numId w:val="2"/>
        </w:numPr>
        <w:spacing w:line="360" w:before="105" w:after="105" w:lineRule="auto"/>
      </w:pPr>
      <w:r>
        <w:rPr>
          <w:rFonts w:eastAsia="georgia" w:cs="georgia" w:ascii="georgia" w:hAnsi="georgia"/>
          <w:color w:val="000000"/>
          <w:sz w:val="21"/>
        </w:rPr>
        <w:t xml:space="preserve">Activation of VEGFR2 and downstream Akt–eNOS axes, associated with nitric‑oxide production, endothelial function, and angiogenesis.[web:113][web:129][web:138]</w:t>
      </w:r>
    </w:p>
    <w:p>
      <w:pPr>
        <w:numPr>
          <w:ilvl w:val="0"/>
          <w:numId w:val="2"/>
        </w:numPr>
        <w:spacing w:line="360" w:before="105" w:after="105" w:lineRule="auto"/>
      </w:pPr>
      <w:r>
        <w:rPr>
          <w:rFonts w:eastAsia="georgia" w:cs="georgia" w:ascii="georgia" w:hAnsi="georgia"/>
          <w:color w:val="000000"/>
          <w:sz w:val="21"/>
        </w:rPr>
        <w:t xml:space="preserve">Modulation of ERK1/2 and focal‑adhesion signalling (FAK–paxillin) in tendon fibroblasts and other cells, in line with changes in migration and survival markers.[web:113][web:138]</w:t>
      </w:r>
    </w:p>
    <w:p>
      <w:pPr>
        <w:numPr>
          <w:ilvl w:val="0"/>
          <w:numId w:val="2"/>
        </w:numPr>
        <w:spacing w:line="360" w:before="105" w:after="105" w:lineRule="auto"/>
      </w:pPr>
      <w:r>
        <w:rPr>
          <w:rFonts w:eastAsia="georgia" w:cs="georgia" w:ascii="georgia" w:hAnsi="georgia"/>
          <w:color w:val="000000"/>
          <w:sz w:val="21"/>
        </w:rPr>
        <w:t xml:space="preserve">Effects on inflammatory mediators and oxidative‑stress markers in models of gastrointestinal and systemic injury.[web:113][web:114][web:129]</w:t>
      </w:r>
    </w:p>
    <w:p>
      <w:pPr>
        <w:spacing w:line="360" w:after="210" w:lineRule="auto"/>
      </w:pPr>
      <w:r>
        <w:rPr>
          <w:rFonts w:eastAsia="georgia" w:cs="georgia" w:ascii="georgia" w:hAnsi="georgia"/>
          <w:color w:val="000000"/>
        </w:rPr>
        <w:t xml:space="preserve">These observations frame BPC‑157 as a versatile research tool for studying cytoprotection, microvascular responses, and extracellular‑matrix remodelling in controlled settings.</w:t>
      </w:r>
    </w:p>
    <w:p>
      <w:pPr>
        <w:spacing w:line="360" w:before="315" w:after="105" w:lineRule="auto"/>
        <w:ind w:left="-30"/>
        <w:jc w:val="left"/>
      </w:pPr>
      <w:bookmarkStart w:id="6" w:name="preclinical_safety_data"/>
      <w:r>
        <w:rPr>
          <w:rFonts w:eastAsia="georgia" w:cs="georgia" w:ascii="georgia" w:hAnsi="georgia"/>
          <w:b/>
          <w:color w:val="000000"/>
          <w:sz w:val="24"/>
        </w:rPr>
        <w:t xml:space="preserve">Preclinical safety data</w:t>
      </w:r>
      <w:bookmarkEnd w:id="6"/>
    </w:p>
    <w:p>
      <w:pPr>
        <w:spacing w:line="360" w:after="210" w:lineRule="auto"/>
      </w:pPr>
      <w:r>
        <w:rPr>
          <w:rFonts w:eastAsia="georgia" w:cs="georgia" w:ascii="georgia" w:hAnsi="georgia"/>
          <w:color w:val="000000"/>
        </w:rPr>
        <w:t xml:space="preserve">Dedicated preclinical safety studies across multiple species have reported that BPC‑157 was generally well tolerated over the dose ranges tested, without serious toxicity in acute or repeat‑dose protocols.[web:129][web:133] No genotoxic or embryo–fetal toxicity was observed in the reported datasets, and local tolerance was acceptable in injection studies.[web:129] These findings support ongoing, tightly regulated clinical investigations but do not constitute approval for general human use.[web:131][web:133]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key_research_themes"/>
      <w:r>
        <w:rPr>
          <w:rFonts w:eastAsia="georgia" w:cs="georgia" w:ascii="georgia" w:hAnsi="georgia"/>
          <w:b/>
          <w:color w:val="000000"/>
          <w:sz w:val="24"/>
        </w:rPr>
        <w:t xml:space="preserve">Key research themes</w:t>
      </w:r>
      <w:bookmarkEnd w:id="7"/>
    </w:p>
    <w:p>
      <w:pPr>
        <w:spacing w:line="360" w:before="315" w:after="105" w:lineRule="auto"/>
        <w:ind w:left="-30"/>
        <w:jc w:val="left"/>
      </w:pPr>
      <w:bookmarkStart w:id="8" w:name="bm_1_musculoskeletal_and_connecti_7df1a5"/>
      <w:r>
        <w:rPr>
          <w:rFonts w:eastAsia="georgia" w:cs="georgia" w:ascii="georgia" w:hAnsi="georgia"/>
          <w:b/>
          <w:color w:val="000000"/>
          <w:sz w:val="24"/>
        </w:rPr>
        <w:t xml:space="preserve">1. Musculoskeletal and connective‑tissue models</w:t>
      </w:r>
      <w:bookmarkEnd w:id="8"/>
    </w:p>
    <w:p>
      <w:pPr>
        <w:spacing w:line="360" w:after="210" w:lineRule="auto"/>
      </w:pPr>
      <w:r>
        <w:rPr>
          <w:rFonts w:eastAsia="georgia" w:cs="georgia" w:ascii="georgia" w:hAnsi="georgia"/>
          <w:color w:val="000000"/>
        </w:rPr>
        <w:t xml:space="preserve">Rodent and in‑vitro studies have examined BPC‑157 in tendon, ligament, muscle, and bone injury models:</w:t>
      </w:r>
    </w:p>
    <w:p>
      <w:pPr>
        <w:numPr>
          <w:ilvl w:val="0"/>
          <w:numId w:val="3"/>
        </w:numPr>
        <w:spacing w:line="360" w:before="105" w:after="105" w:lineRule="auto"/>
      </w:pPr>
      <w:r>
        <w:rPr>
          <w:rFonts w:eastAsia="georgia" w:cs="georgia" w:ascii="georgia" w:hAnsi="georgia"/>
          <w:color w:val="000000"/>
          <w:sz w:val="21"/>
        </w:rPr>
        <w:t xml:space="preserve">Enhanced tendon fibroblast outgrowth, cell survival under stress, and migration, associated with increased growth‑hormone receptor expression and JAK2 signalling in tendon fibroblasts.[web:113][web:138]</w:t>
      </w:r>
    </w:p>
    <w:p>
      <w:pPr>
        <w:numPr>
          <w:ilvl w:val="0"/>
          <w:numId w:val="3"/>
        </w:numPr>
        <w:spacing w:line="360" w:before="105" w:after="105" w:lineRule="auto"/>
      </w:pPr>
      <w:r>
        <w:rPr>
          <w:rFonts w:eastAsia="georgia" w:cs="georgia" w:ascii="georgia" w:hAnsi="georgia"/>
          <w:color w:val="000000"/>
          <w:sz w:val="21"/>
        </w:rPr>
        <w:t xml:space="preserve">Histological and biomechanical improvements in tendon‑to‑bone healing, ligament repair, and muscle injury models compared with untreated controls.[web:113][web:129]</w:t>
      </w:r>
    </w:p>
    <w:p>
      <w:pPr>
        <w:numPr>
          <w:ilvl w:val="0"/>
          <w:numId w:val="3"/>
        </w:numPr>
        <w:spacing w:line="360" w:before="105" w:after="105" w:lineRule="auto"/>
      </w:pPr>
      <w:r>
        <w:rPr>
          <w:rFonts w:eastAsia="georgia" w:cs="georgia" w:ascii="georgia" w:hAnsi="georgia"/>
          <w:color w:val="000000"/>
          <w:sz w:val="21"/>
        </w:rPr>
        <w:t xml:space="preserve">Effects on bone defect healing in rabbit models, with reported support for callus formation and structural restoration.[web:132]</w:t>
      </w:r>
    </w:p>
    <w:p>
      <w:pPr>
        <w:spacing w:line="360" w:after="210" w:lineRule="auto"/>
      </w:pPr>
      <w:r>
        <w:rPr>
          <w:rFonts w:eastAsia="georgia" w:cs="georgia" w:ascii="georgia" w:hAnsi="georgia"/>
          <w:color w:val="000000"/>
        </w:rPr>
        <w:t xml:space="preserve">These data are confined to preclinical systems and are used to explore connective‑tissue biology rather than to define clinical treatment protocols.</w:t>
      </w:r>
    </w:p>
    <w:p>
      <w:pPr>
        <w:spacing w:line="360" w:before="315" w:after="105" w:lineRule="auto"/>
        <w:ind w:left="-30"/>
        <w:jc w:val="left"/>
      </w:pPr>
      <w:bookmarkStart w:id="9" w:name="bm_2_gastrointestinal_and_mucosal_377908"/>
      <w:r>
        <w:rPr>
          <w:rFonts w:eastAsia="georgia" w:cs="georgia" w:ascii="georgia" w:hAnsi="georgia"/>
          <w:b/>
          <w:color w:val="000000"/>
          <w:sz w:val="24"/>
        </w:rPr>
        <w:t xml:space="preserve">2. Gastrointestinal and mucosal integrity</w:t>
      </w:r>
      <w:bookmarkEnd w:id="9"/>
    </w:p>
    <w:p>
      <w:pPr>
        <w:spacing w:line="360" w:after="210" w:lineRule="auto"/>
      </w:pPr>
      <w:r>
        <w:rPr>
          <w:rFonts w:eastAsia="georgia" w:cs="georgia" w:ascii="georgia" w:hAnsi="georgia"/>
          <w:color w:val="000000"/>
        </w:rPr>
        <w:t xml:space="preserve">BPC‑157 has been widely studied in models of gastric and intestinal injury, including stress‑induced lesions, NSAID‑associated damage, and colitis:</w:t>
      </w:r>
    </w:p>
    <w:p>
      <w:pPr>
        <w:numPr>
          <w:ilvl w:val="0"/>
          <w:numId w:val="4"/>
        </w:numPr>
        <w:spacing w:line="360" w:before="105" w:after="105" w:lineRule="auto"/>
      </w:pPr>
      <w:r>
        <w:rPr>
          <w:rFonts w:eastAsia="georgia" w:cs="georgia" w:ascii="georgia" w:hAnsi="georgia"/>
          <w:color w:val="000000"/>
          <w:sz w:val="21"/>
        </w:rPr>
        <w:t xml:space="preserve">Support for mucosal integrity and reductions in lesion severity in various ulcer and colitis models.[web:132][web:135]</w:t>
      </w:r>
    </w:p>
    <w:p>
      <w:pPr>
        <w:numPr>
          <w:ilvl w:val="0"/>
          <w:numId w:val="4"/>
        </w:numPr>
        <w:spacing w:line="360" w:before="105" w:after="105" w:lineRule="auto"/>
      </w:pPr>
      <w:r>
        <w:rPr>
          <w:rFonts w:eastAsia="georgia" w:cs="georgia" w:ascii="georgia" w:hAnsi="georgia"/>
          <w:color w:val="000000"/>
          <w:sz w:val="21"/>
        </w:rPr>
        <w:t xml:space="preserve">Modulation of intestinal permeability and barrier function in NSAID‑related injury paradigms.[web:113][web:114]</w:t>
      </w:r>
    </w:p>
    <w:p>
      <w:pPr>
        <w:numPr>
          <w:ilvl w:val="0"/>
          <w:numId w:val="4"/>
        </w:numPr>
        <w:spacing w:line="360" w:before="105" w:after="105" w:lineRule="auto"/>
      </w:pPr>
      <w:r>
        <w:rPr>
          <w:rFonts w:eastAsia="georgia" w:cs="georgia" w:ascii="georgia" w:hAnsi="georgia"/>
          <w:color w:val="000000"/>
          <w:sz w:val="21"/>
        </w:rPr>
        <w:t xml:space="preserve">Effects on microvascular recruitment and collateral circulation in abdominal and vascular occlusion models relevant to gut perfusion.[web:132][web:135]</w:t>
      </w:r>
    </w:p>
    <w:p>
      <w:pPr>
        <w:spacing w:line="360" w:after="210" w:lineRule="auto"/>
      </w:pPr>
      <w:r>
        <w:rPr>
          <w:rFonts w:eastAsia="georgia" w:cs="georgia" w:ascii="georgia" w:hAnsi="georgia"/>
          <w:color w:val="000000"/>
        </w:rPr>
        <w:t xml:space="preserve">These models are used to investigate cytoprotective and angiogenic responses in gastrointestinal tissues.</w:t>
      </w:r>
    </w:p>
    <w:p>
      <w:pPr>
        <w:spacing w:line="360" w:before="315" w:after="105" w:lineRule="auto"/>
        <w:ind w:left="-30"/>
        <w:jc w:val="left"/>
      </w:pPr>
      <w:bookmarkStart w:id="10" w:name="bm_3_angiogenesis_and_microvascul_477304"/>
      <w:r>
        <w:rPr>
          <w:rFonts w:eastAsia="georgia" w:cs="georgia" w:ascii="georgia" w:hAnsi="georgia"/>
          <w:b/>
          <w:color w:val="000000"/>
          <w:sz w:val="24"/>
        </w:rPr>
        <w:t xml:space="preserve">3. Angiogenesis and microvascular research</w:t>
      </w:r>
      <w:bookmarkEnd w:id="10"/>
    </w:p>
    <w:p>
      <w:pPr>
        <w:spacing w:line="360" w:after="210" w:lineRule="auto"/>
      </w:pPr>
      <w:r>
        <w:rPr>
          <w:rFonts w:eastAsia="georgia" w:cs="georgia" w:ascii="georgia" w:hAnsi="georgia"/>
          <w:color w:val="000000"/>
        </w:rPr>
        <w:t xml:space="preserve">Experimental work describes BPC‑157 as pro‑angiogenic under specific conditions:</w:t>
      </w:r>
    </w:p>
    <w:p>
      <w:pPr>
        <w:numPr>
          <w:ilvl w:val="0"/>
          <w:numId w:val="5"/>
        </w:numPr>
        <w:spacing w:line="360" w:before="105" w:after="105" w:lineRule="auto"/>
      </w:pPr>
      <w:r>
        <w:rPr>
          <w:rFonts w:eastAsia="georgia" w:cs="georgia" w:ascii="georgia" w:hAnsi="georgia"/>
          <w:color w:val="000000"/>
          <w:sz w:val="21"/>
        </w:rPr>
        <w:t xml:space="preserve">Up‑regulation and activation of VEGFR2, with downstream Akt–eNOS signalling and increased tube formation in endothelial assays.[web:113][web:129][web:138]</w:t>
      </w:r>
    </w:p>
    <w:p>
      <w:pPr>
        <w:numPr>
          <w:ilvl w:val="0"/>
          <w:numId w:val="5"/>
        </w:numPr>
        <w:spacing w:line="360" w:before="105" w:after="105" w:lineRule="auto"/>
      </w:pPr>
      <w:r>
        <w:rPr>
          <w:rFonts w:eastAsia="georgia" w:cs="georgia" w:ascii="georgia" w:hAnsi="georgia"/>
          <w:color w:val="000000"/>
          <w:sz w:val="21"/>
        </w:rPr>
        <w:t xml:space="preserve">Enhanced microvascular density and collateral vessel development in ischemia and occlusion models in rodents.[web:132][web:135]</w:t>
      </w:r>
    </w:p>
    <w:p>
      <w:pPr>
        <w:spacing w:line="360" w:after="210" w:lineRule="auto"/>
      </w:pPr>
      <w:r>
        <w:rPr>
          <w:rFonts w:eastAsia="georgia" w:cs="georgia" w:ascii="georgia" w:hAnsi="georgia"/>
          <w:color w:val="000000"/>
        </w:rPr>
        <w:t xml:space="preserve">This has led to its use as a probe for studying physiological vs dysregulated angiogenesis and nitric‑oxide‑linked vascular responses.</w:t>
      </w:r>
    </w:p>
    <w:p>
      <w:pPr>
        <w:spacing w:line="360" w:before="315" w:after="105" w:lineRule="auto"/>
        <w:ind w:left="-30"/>
        <w:jc w:val="left"/>
      </w:pPr>
      <w:bookmarkStart w:id="11" w:name="bm_4_neurological_and_systemic_pr_cd000d"/>
      <w:r>
        <w:rPr>
          <w:rFonts w:eastAsia="georgia" w:cs="georgia" w:ascii="georgia" w:hAnsi="georgia"/>
          <w:b/>
          <w:color w:val="000000"/>
          <w:sz w:val="24"/>
        </w:rPr>
        <w:t xml:space="preserve">4. Neurological and systemic protection models</w:t>
      </w:r>
      <w:bookmarkEnd w:id="11"/>
    </w:p>
    <w:p>
      <w:pPr>
        <w:spacing w:line="360" w:after="210" w:lineRule="auto"/>
      </w:pPr>
      <w:r>
        <w:rPr>
          <w:rFonts w:eastAsia="georgia" w:cs="georgia" w:ascii="georgia" w:hAnsi="georgia"/>
          <w:color w:val="000000"/>
        </w:rPr>
        <w:t xml:space="preserve">Emerging work has extended BPC‑157 research into CNS and systemic injury settings:</w:t>
      </w:r>
    </w:p>
    <w:p>
      <w:pPr>
        <w:numPr>
          <w:ilvl w:val="0"/>
          <w:numId w:val="6"/>
        </w:numPr>
        <w:spacing w:line="360" w:before="105" w:after="105" w:lineRule="auto"/>
      </w:pPr>
      <w:r>
        <w:rPr>
          <w:rFonts w:eastAsia="georgia" w:cs="georgia" w:ascii="georgia" w:hAnsi="georgia"/>
          <w:color w:val="000000"/>
          <w:sz w:val="21"/>
        </w:rPr>
        <w:t xml:space="preserve">Studies reporting protective effects in selected models of brain trauma, neurodegenerative features, and ischemia, often linked to vascular and NO‑system interactions.[web:130][web:132][web:137]</w:t>
      </w:r>
    </w:p>
    <w:p>
      <w:pPr>
        <w:numPr>
          <w:ilvl w:val="0"/>
          <w:numId w:val="6"/>
        </w:numPr>
        <w:spacing w:line="360" w:before="105" w:after="105" w:lineRule="auto"/>
      </w:pPr>
      <w:r>
        <w:rPr>
          <w:rFonts w:eastAsia="georgia" w:cs="georgia" w:ascii="georgia" w:hAnsi="georgia"/>
          <w:color w:val="000000"/>
          <w:sz w:val="21"/>
        </w:rPr>
        <w:t xml:space="preserve">Investigations into abdominal compartment syndrome and multi‑organ stress, focusing on maintenance of tissue integrity and perfusion.[web:132]</w:t>
      </w:r>
    </w:p>
    <w:p>
      <w:pPr>
        <w:spacing w:line="360" w:after="210" w:lineRule="auto"/>
      </w:pPr>
      <w:r>
        <w:rPr>
          <w:rFonts w:eastAsia="georgia" w:cs="georgia" w:ascii="georgia" w:hAnsi="georgia"/>
          <w:color w:val="000000"/>
        </w:rPr>
        <w:t xml:space="preserve">These experimental lines are exploratory and remain in the preclinical domain.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5_mg_vs_10_mg_vials_in_researc_676fcf"/>
      <w:r>
        <w:rPr>
          <w:rFonts w:eastAsia="georgia" w:cs="georgia" w:ascii="georgia" w:hAnsi="georgia"/>
          <w:b/>
          <w:color w:val="000000"/>
          <w:sz w:val="24"/>
        </w:rPr>
        <w:t xml:space="preserve">5 mg vs 10 mg vials in research workflows</w:t>
      </w:r>
      <w:bookmarkEnd w:id="12"/>
    </w:p>
    <w:p>
      <w:pPr>
        <w:spacing w:line="360" w:after="210" w:lineRule="auto"/>
      </w:pPr>
      <w:r>
        <w:rPr>
          <w:rFonts w:eastAsia="georgia" w:cs="georgia" w:ascii="georgia" w:hAnsi="georgia"/>
          <w:color w:val="000000"/>
        </w:rPr>
        <w:t xml:space="preserve">BPC‑157 is commonly offered in 5 mg and 10 mg vials to match different experimental designs:</w:t>
      </w:r>
    </w:p>
    <w:p>
      <w:pPr>
        <w:numPr>
          <w:ilvl w:val="0"/>
          <w:numId w:val="7"/>
        </w:numPr>
        <w:spacing w:line="360" w:before="105" w:after="105" w:lineRule="auto"/>
      </w:pPr>
      <w:r>
        <w:rPr>
          <w:rFonts w:eastAsia="georgia" w:cs="georgia" w:ascii="georgia" w:hAnsi="georgia"/>
          <w:b/>
          <w:color w:val="000000"/>
          <w:sz w:val="21"/>
        </w:rPr>
        <w:t xml:space="preserve">5 mg vials</w:t>
      </w:r>
      <w:r>
        <w:rPr>
          <w:rFonts w:eastAsia="georgia" w:cs="georgia" w:ascii="georgia" w:hAnsi="georgia"/>
          <w:color w:val="000000"/>
          <w:sz w:val="21"/>
        </w:rPr>
        <w:t xml:space="preserve"> suit pilot studies, lower‑dose protocols, or fine dose‑response work where frequent titration is required.</w:t>
      </w:r>
    </w:p>
    <w:p>
      <w:pPr>
        <w:numPr>
          <w:ilvl w:val="0"/>
          <w:numId w:val="7"/>
        </w:numPr>
        <w:spacing w:line="360" w:before="105" w:after="105" w:lineRule="auto"/>
      </w:pPr>
      <w:r>
        <w:rPr>
          <w:rFonts w:eastAsia="georgia" w:cs="georgia" w:ascii="georgia" w:hAnsi="georgia"/>
          <w:b/>
          <w:color w:val="000000"/>
          <w:sz w:val="21"/>
        </w:rPr>
        <w:t xml:space="preserve">10 mg vials</w:t>
      </w:r>
      <w:r>
        <w:rPr>
          <w:rFonts w:eastAsia="georgia" w:cs="georgia" w:ascii="georgia" w:hAnsi="georgia"/>
          <w:color w:val="000000"/>
          <w:sz w:val="21"/>
        </w:rPr>
        <w:t xml:space="preserve"> are often preferred for extended studies, larger animals, or higher‑throughput in‑vitro work.</w:t>
      </w:r>
    </w:p>
    <w:p>
      <w:pPr>
        <w:spacing w:line="360" w:after="210" w:lineRule="auto"/>
      </w:pPr>
      <w:r>
        <w:rPr>
          <w:rFonts w:eastAsia="georgia" w:cs="georgia" w:ascii="georgia" w:hAnsi="georgia"/>
          <w:color w:val="000000"/>
        </w:rPr>
        <w:t xml:space="preserve">Both formats contain the same peptide; selection is typically based on planned total usage and desired stock concentrations.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handling_reconstitution_and_storage"/>
      <w:r>
        <w:rPr>
          <w:rFonts w:eastAsia="georgia" w:cs="georgia" w:ascii="georgia" w:hAnsi="georgia"/>
          <w:b/>
          <w:color w:val="000000"/>
          <w:sz w:val="24"/>
        </w:rPr>
        <w:t xml:space="preserve">Handling, reconstitution, and storage</w:t>
      </w:r>
      <w:bookmarkEnd w:id="13"/>
    </w:p>
    <w:p>
      <w:pPr>
        <w:spacing w:line="360" w:before="315" w:after="105" w:lineRule="auto"/>
        <w:ind w:left="-30"/>
        <w:jc w:val="left"/>
      </w:pPr>
      <w:bookmarkStart w:id="14" w:name="lyophilized_peptide_storage"/>
      <w:r>
        <w:rPr>
          <w:rFonts w:eastAsia="georgia" w:cs="georgia" w:ascii="georgia" w:hAnsi="georgia"/>
          <w:b/>
          <w:color w:val="000000"/>
          <w:sz w:val="24"/>
        </w:rPr>
        <w:t xml:space="preserve">Lyophilized peptide storage</w:t>
      </w:r>
      <w:bookmarkEnd w:id="14"/>
    </w:p>
    <w:p>
      <w:pPr>
        <w:numPr>
          <w:ilvl w:val="0"/>
          <w:numId w:val="8"/>
        </w:numPr>
        <w:spacing w:line="360" w:before="105" w:after="105" w:lineRule="auto"/>
      </w:pPr>
      <w:r>
        <w:rPr>
          <w:rFonts w:eastAsia="georgia" w:cs="georgia" w:ascii="georgia" w:hAnsi="georgia"/>
          <w:color w:val="000000"/>
          <w:sz w:val="21"/>
        </w:rPr>
        <w:t xml:space="preserve">Store dry BPC‑157 vials at −20 °C or below in a sealed, desiccated container.</w:t>
      </w:r>
    </w:p>
    <w:p>
      <w:pPr>
        <w:numPr>
          <w:ilvl w:val="0"/>
          <w:numId w:val="8"/>
        </w:numPr>
        <w:spacing w:line="360" w:before="105" w:after="105" w:lineRule="auto"/>
      </w:pPr>
      <w:r>
        <w:rPr>
          <w:rFonts w:eastAsia="georgia" w:cs="georgia" w:ascii="georgia" w:hAnsi="georgia"/>
          <w:color w:val="000000"/>
          <w:sz w:val="21"/>
        </w:rPr>
        <w:t xml:space="preserve">Protect from light and avoid repeated temperature cycling between freezer and room temperature.[web:131][web:138]</w:t>
      </w:r>
    </w:p>
    <w:p>
      <w:pPr>
        <w:spacing w:line="360" w:before="315" w:after="105" w:lineRule="auto"/>
        <w:ind w:left="-30"/>
        <w:jc w:val="left"/>
      </w:pPr>
      <w:bookmarkStart w:id="15" w:name="reconstitution"/>
      <w:r>
        <w:rPr>
          <w:rFonts w:eastAsia="georgia" w:cs="georgia" w:ascii="georgia" w:hAnsi="georgia"/>
          <w:b/>
          <w:color w:val="000000"/>
          <w:sz w:val="24"/>
        </w:rPr>
        <w:t xml:space="preserve">Reconstitution</w:t>
      </w:r>
      <w:bookmarkEnd w:id="15"/>
    </w:p>
    <w:p>
      <w:pPr>
        <w:numPr>
          <w:ilvl w:val="0"/>
          <w:numId w:val="9"/>
        </w:numPr>
        <w:spacing w:line="360" w:before="105" w:after="105" w:lineRule="auto"/>
      </w:pPr>
      <w:r>
        <w:rPr>
          <w:rFonts w:eastAsia="georgia" w:cs="georgia" w:ascii="georgia" w:hAnsi="georgia"/>
          <w:color w:val="000000"/>
          <w:sz w:val="21"/>
        </w:rPr>
        <w:t xml:space="preserve">Reconstitute using sterile water, bacteriostatic water (0.9% benzyl alcohol), or an appropriate sterile buffer compatible with the intended assay.</w:t>
      </w:r>
    </w:p>
    <w:p>
      <w:pPr>
        <w:numPr>
          <w:ilvl w:val="0"/>
          <w:numId w:val="9"/>
        </w:numPr>
        <w:spacing w:line="360" w:before="105" w:after="105" w:lineRule="auto"/>
      </w:pPr>
      <w:r>
        <w:rPr>
          <w:rFonts w:eastAsia="georgia" w:cs="georgia" w:ascii="georgia" w:hAnsi="georgia"/>
          <w:color w:val="000000"/>
          <w:sz w:val="21"/>
        </w:rPr>
        <w:t xml:space="preserve">Allow the vial to warm briefly, then add solvent slowly along the inner wall.</w:t>
      </w:r>
    </w:p>
    <w:p>
      <w:pPr>
        <w:numPr>
          <w:ilvl w:val="0"/>
          <w:numId w:val="9"/>
        </w:numPr>
        <w:spacing w:line="360" w:before="105" w:after="105" w:lineRule="auto"/>
      </w:pPr>
      <w:r>
        <w:rPr>
          <w:rFonts w:eastAsia="georgia" w:cs="georgia" w:ascii="georgia" w:hAnsi="georgia"/>
          <w:color w:val="000000"/>
          <w:sz w:val="21"/>
        </w:rPr>
        <w:t xml:space="preserve">Gently swirl or roll until fully dissolved; avoid vigorous shaking or foaming.</w:t>
      </w:r>
    </w:p>
    <w:p>
      <w:pPr>
        <w:numPr>
          <w:ilvl w:val="0"/>
          <w:numId w:val="9"/>
        </w:numPr>
        <w:spacing w:line="360" w:before="105" w:after="105" w:lineRule="auto"/>
      </w:pPr>
      <w:r>
        <w:rPr>
          <w:rFonts w:eastAsia="georgia" w:cs="georgia" w:ascii="georgia" w:hAnsi="georgia"/>
          <w:color w:val="000000"/>
          <w:sz w:val="21"/>
        </w:rPr>
        <w:t xml:space="preserve">Record the final concentration and solvent for reproducible experimental use.</w:t>
      </w:r>
    </w:p>
    <w:p>
      <w:pPr>
        <w:spacing w:line="360" w:before="315" w:after="105" w:lineRule="auto"/>
        <w:ind w:left="-30"/>
        <w:jc w:val="left"/>
      </w:pPr>
      <w:bookmarkStart w:id="16" w:name="reconstituted_solutions"/>
      <w:r>
        <w:rPr>
          <w:rFonts w:eastAsia="georgia" w:cs="georgia" w:ascii="georgia" w:hAnsi="georgia"/>
          <w:b/>
          <w:color w:val="000000"/>
          <w:sz w:val="24"/>
        </w:rPr>
        <w:t xml:space="preserve">Reconstituted solutions</w:t>
      </w:r>
      <w:bookmarkEnd w:id="16"/>
    </w:p>
    <w:p>
      <w:pPr>
        <w:numPr>
          <w:ilvl w:val="0"/>
          <w:numId w:val="10"/>
        </w:numPr>
        <w:spacing w:line="360" w:before="105" w:after="105" w:lineRule="auto"/>
      </w:pPr>
      <w:r>
        <w:rPr>
          <w:rFonts w:eastAsia="georgia" w:cs="georgia" w:ascii="georgia" w:hAnsi="georgia"/>
          <w:color w:val="000000"/>
          <w:sz w:val="21"/>
        </w:rPr>
        <w:t xml:space="preserve">For short‑term use, store at 2–8 °C and use within a laboratory‑defined stability window.</w:t>
      </w:r>
    </w:p>
    <w:p>
      <w:pPr>
        <w:numPr>
          <w:ilvl w:val="0"/>
          <w:numId w:val="10"/>
        </w:numPr>
        <w:spacing w:line="360" w:before="105" w:after="105" w:lineRule="auto"/>
      </w:pPr>
      <w:r>
        <w:rPr>
          <w:rFonts w:eastAsia="georgia" w:cs="georgia" w:ascii="georgia" w:hAnsi="georgia"/>
          <w:color w:val="000000"/>
          <w:sz w:val="21"/>
        </w:rPr>
        <w:t xml:space="preserve">For extended work, aliquot and freeze at −20 °C or below, minimizing freeze–thaw cycles.</w:t>
      </w:r>
    </w:p>
    <w:p>
      <w:pPr>
        <w:numPr>
          <w:ilvl w:val="0"/>
          <w:numId w:val="10"/>
        </w:numPr>
        <w:spacing w:line="360" w:before="105" w:after="105" w:lineRule="auto"/>
      </w:pPr>
      <w:r>
        <w:rPr>
          <w:rFonts w:eastAsia="georgia" w:cs="georgia" w:ascii="georgia" w:hAnsi="georgia"/>
          <w:color w:val="000000"/>
          <w:sz w:val="21"/>
        </w:rPr>
        <w:t xml:space="preserve">Inspect visually before each use; discard solutions showing turbidity, precipitate, or discoloration.[web:131]</w:t>
      </w:r>
    </w:p>
    <w:p>
      <w:pPr>
        <w:spacing w:line="360" w:after="210" w:lineRule="auto"/>
      </w:pPr>
      <w:r>
        <w:rPr>
          <w:rFonts w:eastAsia="georgia" w:cs="georgia" w:ascii="georgia" w:hAnsi="georgia"/>
          <w:color w:val="000000"/>
        </w:rPr>
        <w:t xml:space="preserve">Each laboratory should verify stability under its own conditions and follow internal quality and biosafety procedures.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analytical_quality_and_documentation"/>
      <w:r>
        <w:rPr>
          <w:rFonts w:eastAsia="georgia" w:cs="georgia" w:ascii="georgia" w:hAnsi="georgia"/>
          <w:b/>
          <w:color w:val="000000"/>
          <w:sz w:val="24"/>
        </w:rPr>
        <w:t xml:space="preserve">Analytical quality and documentation</w:t>
      </w:r>
      <w:bookmarkEnd w:id="17"/>
    </w:p>
    <w:p>
      <w:pPr>
        <w:spacing w:line="360" w:after="210" w:lineRule="auto"/>
      </w:pPr>
      <w:r>
        <w:rPr>
          <w:rFonts w:eastAsia="georgia" w:cs="georgia" w:ascii="georgia" w:hAnsi="georgia"/>
          <w:color w:val="000000"/>
        </w:rPr>
        <w:t xml:space="preserve">Research‑grade BPC‑157 is generally produced by solid‑phase peptide synthesis and undergoes analytical verification prior to release:</w:t>
      </w:r>
    </w:p>
    <w:p>
      <w:pPr>
        <w:numPr>
          <w:ilvl w:val="0"/>
          <w:numId w:val="11"/>
        </w:numPr>
        <w:spacing w:line="360" w:before="105" w:after="105" w:lineRule="auto"/>
      </w:pPr>
      <w:r>
        <w:rPr>
          <w:rFonts w:eastAsia="georgia" w:cs="georgia" w:ascii="georgia" w:hAnsi="georgia"/>
          <w:b/>
          <w:color w:val="000000"/>
          <w:sz w:val="21"/>
        </w:rPr>
        <w:t xml:space="preserve">Purity</w:t>
      </w:r>
    </w:p>
    <w:p>
      <w:pPr>
        <w:numPr>
          <w:ilvl w:val="1"/>
          <w:numId w:val="11"/>
        </w:numPr>
        <w:spacing w:line="360" w:before="105" w:after="105" w:lineRule="auto"/>
      </w:pPr>
      <w:r>
        <w:rPr>
          <w:rFonts w:eastAsia="georgia" w:cs="georgia" w:ascii="georgia" w:hAnsi="georgia"/>
          <w:color w:val="000000"/>
          <w:sz w:val="21"/>
        </w:rPr>
        <w:t xml:space="preserve">Reversed‑phase HPLC confirming high peptide purity, with documentation of related substances and synthesis by‑products.[web:114][web:123]</w:t>
      </w:r>
    </w:p>
    <w:p>
      <w:pPr>
        <w:numPr>
          <w:ilvl w:val="0"/>
          <w:numId w:val="11"/>
        </w:numPr>
        <w:spacing w:line="360" w:before="105" w:after="105" w:lineRule="auto"/>
      </w:pPr>
      <w:r>
        <w:rPr>
          <w:rFonts w:eastAsia="georgia" w:cs="georgia" w:ascii="georgia" w:hAnsi="georgia"/>
          <w:b/>
          <w:color w:val="000000"/>
          <w:sz w:val="21"/>
        </w:rPr>
        <w:t xml:space="preserve">Identity</w:t>
      </w:r>
    </w:p>
    <w:p>
      <w:pPr>
        <w:numPr>
          <w:ilvl w:val="1"/>
          <w:numId w:val="11"/>
        </w:numPr>
        <w:spacing w:line="360" w:before="105" w:after="105" w:lineRule="auto"/>
      </w:pPr>
      <w:r>
        <w:rPr>
          <w:rFonts w:eastAsia="georgia" w:cs="georgia" w:ascii="georgia" w:hAnsi="georgia"/>
          <w:color w:val="000000"/>
          <w:sz w:val="21"/>
        </w:rPr>
        <w:t xml:space="preserve">Mass spectrometry verifying the expected molecular weight (~1419.5 g/mol) and fragmentation pattern consistent with the BPC‑157 sequence.[web:131][web:138]</w:t>
      </w:r>
    </w:p>
    <w:p>
      <w:pPr>
        <w:numPr>
          <w:ilvl w:val="0"/>
          <w:numId w:val="11"/>
        </w:numPr>
        <w:spacing w:line="360" w:before="105" w:after="105" w:lineRule="auto"/>
      </w:pPr>
      <w:r>
        <w:rPr>
          <w:rFonts w:eastAsia="georgia" w:cs="georgia" w:ascii="georgia" w:hAnsi="georgia"/>
          <w:b/>
          <w:color w:val="000000"/>
          <w:sz w:val="21"/>
        </w:rPr>
        <w:t xml:space="preserve">Additional testing</w:t>
      </w:r>
    </w:p>
    <w:p>
      <w:pPr>
        <w:numPr>
          <w:ilvl w:val="1"/>
          <w:numId w:val="11"/>
        </w:numPr>
        <w:spacing w:line="360" w:before="105" w:after="105" w:lineRule="auto"/>
      </w:pPr>
      <w:r>
        <w:rPr>
          <w:rFonts w:eastAsia="georgia" w:cs="georgia" w:ascii="georgia" w:hAnsi="georgia"/>
          <w:color w:val="000000"/>
          <w:sz w:val="21"/>
        </w:rPr>
        <w:t xml:space="preserve">Microbial and endotoxin tests as appropriate for research‑grade materials.</w:t>
      </w:r>
    </w:p>
    <w:p>
      <w:pPr>
        <w:numPr>
          <w:ilvl w:val="1"/>
          <w:numId w:val="11"/>
        </w:numPr>
        <w:spacing w:line="360" w:before="105" w:after="105" w:lineRule="auto"/>
      </w:pPr>
      <w:r>
        <w:rPr>
          <w:rFonts w:eastAsia="georgia" w:cs="georgia" w:ascii="georgia" w:hAnsi="georgia"/>
          <w:color w:val="000000"/>
          <w:sz w:val="21"/>
        </w:rPr>
        <w:t xml:space="preserve">Residual solvent and water‑content measurements following applicable guidelines.[web:129]</w:t>
      </w:r>
    </w:p>
    <w:p>
      <w:pPr>
        <w:spacing w:line="360" w:after="210" w:lineRule="auto"/>
      </w:pPr>
      <w:r>
        <w:rPr>
          <w:rFonts w:eastAsia="georgia" w:cs="georgia" w:ascii="georgia" w:hAnsi="georgia"/>
          <w:color w:val="000000"/>
        </w:rPr>
        <w:t xml:space="preserve">Researchers should consult the batch‑specific Certificate of Analysis (COA) for exact specifications, assay methods, and acceptance criteria for each lot.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research_use_only_and_safety_notice"/>
      <w:r>
        <w:rPr>
          <w:rFonts w:eastAsia="georgia" w:cs="georgia" w:ascii="georgia" w:hAnsi="georgia"/>
          <w:b/>
          <w:color w:val="000000"/>
          <w:sz w:val="24"/>
        </w:rPr>
        <w:t xml:space="preserve">Research‑use‑only and safety notice</w:t>
      </w:r>
      <w:bookmarkEnd w:id="18"/>
    </w:p>
    <w:p>
      <w:pPr>
        <w:spacing w:line="360" w:after="210" w:lineRule="auto"/>
        <w:ind w:left="630"/>
      </w:pPr>
      <w:r>
        <w:rPr>
          <w:rFonts w:eastAsia="georgia" w:cs="georgia" w:ascii="georgia" w:hAnsi="georgia"/>
          <w:b/>
          <w:color w:val="000000"/>
        </w:rPr>
        <w:t xml:space="preserve">FOR LABORATORY RESEARCH USE ONLY – NOT FOR HUMAN OR VETERINARY USE</w:t>
      </w:r>
      <w:r>
        <w:rPr>
          <w:rFonts w:eastAsia="georgia" w:cs="georgia" w:ascii="georgia" w:hAnsi="georgia"/>
          <w:color w:val="000000"/>
        </w:rPr>
        <w:br w:type="textWrapping"/>
      </w:r>
      <w:r>
        <w:rPr>
          <w:rFonts w:eastAsia="georgia" w:cs="georgia" w:ascii="georgia" w:hAnsi="georgia"/>
          <w:color w:val="000000"/>
        </w:rPr>
        <w:t xml:space="preserve">BPC‑157 5 mg is supplied solely as a research peptide for in‑vitro studies and in‑vivo animal experiments conducted under institutional oversight. It has not been evaluated or approved by the FDA, EMA, or other regulatory bodies for therapeutic, cosmetic, performance, or dietary applications.[web:120][web:131][web:133]</w:t>
      </w:r>
    </w:p>
    <w:p>
      <w:pPr>
        <w:spacing w:line="360" w:after="210" w:lineRule="auto"/>
        <w:ind w:left="630"/>
      </w:pPr>
      <w:r>
        <w:rPr>
          <w:rFonts w:eastAsia="georgia" w:cs="georgia" w:ascii="georgia" w:hAnsi="georgia"/>
          <w:color w:val="000000"/>
        </w:rPr>
        <w:t xml:space="preserve">The peptide must not be used for diagnosis, treatment, mitigation, cure, or prevention of any disease, and must not be administered to humans or animals outside properly approved research protocols. All handling should follow applicable biosafety, chemical‑safety, and waste‑disposal requirements.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2026-04-30T09:43:20.473Z</dcterms:created>
  <dcterms:modified xsi:type="dcterms:W3CDTF">2026-04-30T09:43:20.473Z</dcterms:modified>
</cp:coreProperties>
</file>