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jc_1295_no_dac_5_mg_ipamorelin_5_110095"/>
      <w:r>
        <w:rPr>
          <w:rFonts w:eastAsia="georgia" w:cs="georgia" w:ascii="georgia" w:hAnsi="georgia"/>
          <w:b/>
          <w:color w:val="000000"/>
          <w:sz w:val="39"/>
        </w:rPr>
        <w:t xml:space="preserve">CJC‑1295 No DAC (5 mg) + Ipamorelin (5 mg) Blend – Growth Hormone Axis Research Peptide</w:t>
      </w:r>
      <w:bookmarkEnd w:id="0"/>
    </w:p>
    <w:p>
      <w:pPr>
        <w:spacing w:line="360" w:before="315" w:after="105" w:lineRule="auto"/>
        <w:ind w:left="-30"/>
        <w:jc w:val="left"/>
      </w:pPr>
      <w:bookmarkStart w:id="1" w:name="product_overview"/>
      <w:r>
        <w:rPr>
          <w:rFonts w:eastAsia="georgia" w:cs="georgia" w:ascii="georgia" w:hAnsi="georgia"/>
          <w:b/>
          <w:color w:val="000000"/>
          <w:sz w:val="24"/>
        </w:rPr>
        <w:t xml:space="preserve">Product overview</w:t>
      </w:r>
      <w:bookmarkEnd w:id="1"/>
    </w:p>
    <w:p>
      <w:pPr>
        <w:spacing w:line="360" w:after="210" w:lineRule="auto"/>
      </w:pPr>
      <w:r>
        <w:rPr>
          <w:rFonts w:eastAsia="georgia" w:cs="georgia" w:ascii="georgia" w:hAnsi="georgia"/>
          <w:color w:val="000000"/>
        </w:rPr>
        <w:t xml:space="preserve">The CJC‑1295 No DAC + Ipamorelin Blend combines two growth hormone secretagogues in a fixed 1:1 ratio, delivering 5 mg CJC‑1295 (No DAC, Mod GRF 1‑29) and 5 mg Ipamorelin per 10 mg lyophilized vial.[web:143][web:154][web:157] CJC‑1295 (No DAC) is a 29‑amino‑acid analogue of growth hormone‑releasing hormone (GHRH 1‑29) with four stabilizing substitutions, while Ipamorelin is a synthetic pentapeptide ghrelin mimetic with the sequence Aib‑His‑D‑2‑Nal‑D‑Phe‑Lys‑NH₂.[web:143][web:144][web:150][web:155]</w:t>
      </w:r>
    </w:p>
    <w:p>
      <w:pPr>
        <w:spacing w:line="360" w:after="210" w:lineRule="auto"/>
      </w:pPr>
      <w:r>
        <w:rPr>
          <w:rFonts w:eastAsia="georgia" w:cs="georgia" w:ascii="georgia" w:hAnsi="georgia"/>
          <w:color w:val="000000"/>
        </w:rPr>
        <w:t xml:space="preserve">In preclinical systems, this dual‑peptide formulation is used to investigate synergistic growth hormone release via combined GHRH receptor activation and ghrelin receptor (GHS‑R1a) stimulation, as well as downstream IGF‑1 and metabolic signalling.[web:145][web:148][web:154] The blend is supplied as a sterile, white to off‑white lyophilized powder with high purity confirmed by HPLC and identity validated by mass spectrometry.[web:145][web:155]</w:t>
      </w:r>
    </w:p>
    <w:p>
      <w:pPr>
        <w:spacing w:line="360" w:after="210" w:lineRule="auto"/>
      </w:pPr>
      <w:r>
        <w:rPr>
          <w:rFonts w:eastAsia="georgia" w:cs="georgia" w:ascii="georgia" w:hAnsi="georgia"/>
          <w:color w:val="000000"/>
        </w:rPr>
        <w:t xml:space="preserve">This material is intended strictly for in‑vitro experiments and in‑vivo animal models in qualified laboratories. It is not approved for human or veterinary 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quick_product_snapshot"/>
      <w:r>
        <w:rPr>
          <w:rFonts w:eastAsia="georgia" w:cs="georgia" w:ascii="georgia" w:hAnsi="georgia"/>
          <w:b/>
          <w:color w:val="000000"/>
          <w:sz w:val="24"/>
        </w:rPr>
        <w:t xml:space="preserve">Quick product snapshot</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Field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Product 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CJC‑1295 No DAC (5 mg) + Ipamorelin (5 mg) Blend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Total content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10 mg lyophilized peptide blend per vial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Composition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5 mg CJC‑1295 (No DAC, Mod GRF 1‑29) + 5 mg Ipamorelin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CJC‑1295 (No DAC)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29‑amino‑acid GHRH analogue (tetrasubstituted GRF 1‑29)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Ipamorelin type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Synthetic pentapeptide ghrelin mimetic and GHS‑R agonist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CJC‑1295 (No DAC) MW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~3367–3647 g/mol (sequence‑dependent)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Ipamorelin MW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~711.9 g/mol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Sterile lyophilized acetate‑salt powder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Appearance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White to off‑white cake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(unopened)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2–8 °C, protected from light and moisture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Intended use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In‑vitro and preclinical research only</w:t>
            </w:r>
          </w:p>
        </w:tc>
      </w:tr>
    </w:tbl>
    <w:p>
      <w:pPr>
        <w:spacing w:lineRule="auto"/>
      </w:pPr>
    </w:p>
    <w:p>
      <w:pPr>
        <w:spacing w:line="360" w:after="210" w:lineRule="auto"/>
      </w:pPr>
      <w:r>
        <w:rPr>
          <w:rFonts w:eastAsia="georgia" w:cs="georgia" w:ascii="georgia" w:hAnsi="georgia"/>
          <w:color w:val="000000"/>
        </w:rPr>
        <w:t xml:space="preserve">Component descriptions and chemical identifiers are consistent with commonly cited data for CJC‑1295 (No DAC) and Ipamorelin research materials.[web:143][web:144][web:147][web:150][web:155]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component_identities"/>
      <w:r>
        <w:rPr>
          <w:rFonts w:eastAsia="georgia" w:cs="georgia" w:ascii="georgia" w:hAnsi="georgia"/>
          <w:b/>
          <w:color w:val="000000"/>
          <w:sz w:val="24"/>
        </w:rPr>
        <w:t xml:space="preserve">Component identities</w:t>
      </w:r>
      <w:bookmarkEnd w:id="3"/>
    </w:p>
    <w:p>
      <w:pPr>
        <w:spacing w:line="360" w:before="315" w:after="105" w:lineRule="auto"/>
        <w:ind w:left="-30"/>
        <w:jc w:val="left"/>
      </w:pPr>
      <w:bookmarkStart w:id="4" w:name="cjc_1295_no_dac_mod_grf_1_29"/>
      <w:r>
        <w:rPr>
          <w:rFonts w:eastAsia="georgia" w:cs="georgia" w:ascii="georgia" w:hAnsi="georgia"/>
          <w:b/>
          <w:color w:val="000000"/>
          <w:sz w:val="24"/>
        </w:rPr>
        <w:t xml:space="preserve">CJC‑1295 (No DAC, Mod GRF 1‑29)</w:t>
      </w:r>
      <w:bookmarkEnd w:id="4"/>
    </w:p>
    <w:p>
      <w:pPr>
        <w:spacing w:line="360" w:after="210" w:lineRule="auto"/>
      </w:pPr>
      <w:r>
        <w:rPr>
          <w:rFonts w:eastAsia="georgia" w:cs="georgia" w:ascii="georgia" w:hAnsi="georgia"/>
          <w:color w:val="000000"/>
        </w:rPr>
        <w:t xml:space="preserve">CJC‑1295 (No DAC), often referred to as Modified GRF 1‑29, is a synthetic 29‑amino‑acid analogue of GHRH that incorporates four amino‑acid substitutions (D‑Ala², Gln⁸, Ala¹⁵, Leu²⁷) to improve stability and receptor binding compared with native GHRH 1‑29.[web:143][web:149][web:155] Unlike the DAC (Drug Affinity Complex) version, which is albumin‑binding and long‑acting, the No DAC form remains short‑acting and is typically discussed in the context of pulsatile growth hormone release in research settings.[web:143][web:146][web:152]</w:t>
      </w:r>
    </w:p>
    <w:p>
      <w:pPr>
        <w:spacing w:line="360" w:after="210" w:lineRule="auto"/>
      </w:pPr>
      <w:r>
        <w:rPr>
          <w:rFonts w:eastAsia="georgia" w:cs="georgia" w:ascii="georgia" w:hAnsi="georgia"/>
          <w:color w:val="000000"/>
        </w:rPr>
        <w:t xml:space="preserve">Key identity points:</w:t>
      </w:r>
    </w:p>
    <w:p>
      <w:pPr>
        <w:numPr>
          <w:ilvl w:val="0"/>
          <w:numId w:val="1"/>
        </w:numPr>
        <w:spacing w:line="360" w:before="105" w:after="105" w:lineRule="auto"/>
      </w:pPr>
      <w:r>
        <w:rPr>
          <w:rFonts w:eastAsia="georgia" w:cs="georgia" w:ascii="georgia" w:hAnsi="georgia"/>
          <w:color w:val="000000"/>
          <w:sz w:val="21"/>
        </w:rPr>
        <w:t xml:space="preserve">Class: GHRH analogue / growth hormone secretagogue.</w:t>
      </w:r>
    </w:p>
    <w:p>
      <w:pPr>
        <w:numPr>
          <w:ilvl w:val="0"/>
          <w:numId w:val="1"/>
        </w:numPr>
        <w:spacing w:line="360" w:before="105" w:after="105" w:lineRule="auto"/>
      </w:pPr>
      <w:r>
        <w:rPr>
          <w:rFonts w:eastAsia="georgia" w:cs="georgia" w:ascii="georgia" w:hAnsi="georgia"/>
          <w:color w:val="000000"/>
          <w:sz w:val="21"/>
        </w:rPr>
        <w:t xml:space="preserve">Length: 29 amino acids (modified GHRH 1‑29).</w:t>
      </w:r>
    </w:p>
    <w:p>
      <w:pPr>
        <w:numPr>
          <w:ilvl w:val="0"/>
          <w:numId w:val="1"/>
        </w:numPr>
        <w:spacing w:line="360" w:before="105" w:after="105" w:lineRule="auto"/>
      </w:pPr>
      <w:r>
        <w:rPr>
          <w:rFonts w:eastAsia="georgia" w:cs="georgia" w:ascii="georgia" w:hAnsi="georgia"/>
          <w:color w:val="000000"/>
          <w:sz w:val="21"/>
        </w:rPr>
        <w:t xml:space="preserve">Mechanistic focus: GHRH receptor activation and cAMP‑PKA signalling in pituitary somatotrophs.[web:143][web:149][web:154]</w:t>
      </w:r>
    </w:p>
    <w:p>
      <w:pPr>
        <w:spacing w:line="360" w:before="315" w:after="105" w:lineRule="auto"/>
        <w:ind w:left="-30"/>
        <w:jc w:val="left"/>
      </w:pPr>
      <w:bookmarkStart w:id="5" w:name="ipamorelin"/>
      <w:r>
        <w:rPr>
          <w:rFonts w:eastAsia="georgia" w:cs="georgia" w:ascii="georgia" w:hAnsi="georgia"/>
          <w:b/>
          <w:color w:val="000000"/>
          <w:sz w:val="24"/>
        </w:rPr>
        <w:t xml:space="preserve">Ipamorelin</w:t>
      </w:r>
      <w:bookmarkEnd w:id="5"/>
    </w:p>
    <w:p>
      <w:pPr>
        <w:spacing w:line="360" w:after="210" w:lineRule="auto"/>
      </w:pPr>
      <w:r>
        <w:rPr>
          <w:rFonts w:eastAsia="georgia" w:cs="georgia" w:ascii="georgia" w:hAnsi="georgia"/>
          <w:color w:val="000000"/>
        </w:rPr>
        <w:t xml:space="preserve">Ipamorelin is a synthetic pentapeptide growth hormone secretagogue with the sequence Aib‑His‑D‑2‑Nal‑D‑Phe‑Lys‑NH₂, developed as a selective agonist of the ghrelin/GHS‑R1a receptor.[web:144][web:147][web:150][web:156] It is used in research to stimulate growth hormone release with minimal impact on other pituitary hormones such as ACTH, cortisol, FSH, LH, and TSH.[web:144][web:147][web:150]</w:t>
      </w:r>
    </w:p>
    <w:p>
      <w:pPr>
        <w:spacing w:line="360" w:after="210" w:lineRule="auto"/>
      </w:pPr>
      <w:r>
        <w:rPr>
          <w:rFonts w:eastAsia="georgia" w:cs="georgia" w:ascii="georgia" w:hAnsi="georgia"/>
          <w:color w:val="000000"/>
        </w:rPr>
        <w:t xml:space="preserve">Key identity points:</w:t>
      </w:r>
    </w:p>
    <w:p>
      <w:pPr>
        <w:numPr>
          <w:ilvl w:val="0"/>
          <w:numId w:val="2"/>
        </w:numPr>
        <w:spacing w:line="360" w:before="105" w:after="105" w:lineRule="auto"/>
      </w:pPr>
      <w:r>
        <w:rPr>
          <w:rFonts w:eastAsia="georgia" w:cs="georgia" w:ascii="georgia" w:hAnsi="georgia"/>
          <w:color w:val="000000"/>
          <w:sz w:val="21"/>
        </w:rPr>
        <w:t xml:space="preserve">Class: Ghrelin mimetic / GHS‑R1a agonist.</w:t>
      </w:r>
    </w:p>
    <w:p>
      <w:pPr>
        <w:numPr>
          <w:ilvl w:val="0"/>
          <w:numId w:val="2"/>
        </w:numPr>
        <w:spacing w:line="360" w:before="105" w:after="105" w:lineRule="auto"/>
      </w:pPr>
      <w:r>
        <w:rPr>
          <w:rFonts w:eastAsia="georgia" w:cs="georgia" w:ascii="georgia" w:hAnsi="georgia"/>
          <w:color w:val="000000"/>
          <w:sz w:val="21"/>
        </w:rPr>
        <w:t xml:space="preserve">Length: 5 amino acids (pentapeptide).</w:t>
      </w:r>
    </w:p>
    <w:p>
      <w:pPr>
        <w:numPr>
          <w:ilvl w:val="0"/>
          <w:numId w:val="2"/>
        </w:numPr>
        <w:spacing w:line="360" w:before="105" w:after="105" w:lineRule="auto"/>
      </w:pPr>
      <w:r>
        <w:rPr>
          <w:rFonts w:eastAsia="georgia" w:cs="georgia" w:ascii="georgia" w:hAnsi="georgia"/>
          <w:color w:val="000000"/>
          <w:sz w:val="21"/>
        </w:rPr>
        <w:t xml:space="preserve">Molecular weight: ~711.9 g/mol; molecular formula C₃₈H₄₉N₉O₅.[web:147][web:156]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scientific_background_non_clinical"/>
      <w:r>
        <w:rPr>
          <w:rFonts w:eastAsia="georgia" w:cs="georgia" w:ascii="georgia" w:hAnsi="georgia"/>
          <w:b/>
          <w:color w:val="000000"/>
          <w:sz w:val="24"/>
        </w:rPr>
        <w:t xml:space="preserve">Scientific background (non‑clinical)</w:t>
      </w:r>
      <w:bookmarkEnd w:id="6"/>
    </w:p>
    <w:p>
      <w:pPr>
        <w:spacing w:line="360" w:before="315" w:after="105" w:lineRule="auto"/>
        <w:ind w:left="-30"/>
        <w:jc w:val="left"/>
      </w:pPr>
      <w:bookmarkStart w:id="7" w:name="rationale_for_combining_cjc_1295_fad6c3"/>
      <w:r>
        <w:rPr>
          <w:rFonts w:eastAsia="georgia" w:cs="georgia" w:ascii="georgia" w:hAnsi="georgia"/>
          <w:b/>
          <w:color w:val="000000"/>
          <w:sz w:val="24"/>
        </w:rPr>
        <w:t xml:space="preserve">Rationale for combining CJC‑1295 (No DAC) and Ipamorelin</w:t>
      </w:r>
      <w:bookmarkEnd w:id="7"/>
    </w:p>
    <w:p>
      <w:pPr>
        <w:spacing w:line="360" w:after="210" w:lineRule="auto"/>
      </w:pPr>
      <w:r>
        <w:rPr>
          <w:rFonts w:eastAsia="georgia" w:cs="georgia" w:ascii="georgia" w:hAnsi="georgia"/>
          <w:color w:val="000000"/>
        </w:rPr>
        <w:t xml:space="preserve">CJC‑1295 (No DAC) and Ipamorelin act at different points in the growth hormone axis: CJC‑1295 engages GHRH receptors to enhance pituitary sensitivity and GH pulse amplitude, while Ipamorelin activates ghrelin receptors to trigger rapid, calcium‑dependent GH release.[web:143][web:144][web:148][web:154] When both pathways are stimulated together, experimental work has described GH responses that exceed the sum of each peptide alone, supporting investigation of synergistic GH secretion mechanisms.[web:145][web:148][web:154]</w:t>
      </w:r>
    </w:p>
    <w:p>
      <w:pPr>
        <w:spacing w:line="360" w:after="210" w:lineRule="auto"/>
      </w:pPr>
      <w:r>
        <w:rPr>
          <w:rFonts w:eastAsia="georgia" w:cs="georgia" w:ascii="georgia" w:hAnsi="georgia"/>
          <w:color w:val="000000"/>
        </w:rPr>
        <w:t xml:space="preserve">The No DAC variant of CJC‑1295 maintains a relatively short half‑life, favouring pulsatile GH profiles instead of sustained elevation, which is useful for studying physiological‑like patterns and receptor regulation.[web:143][web:146][web:152]</w:t>
      </w:r>
    </w:p>
    <w:p>
      <w:pPr>
        <w:spacing w:line="360" w:before="315" w:after="105" w:lineRule="auto"/>
        <w:ind w:left="-30"/>
        <w:jc w:val="left"/>
      </w:pPr>
      <w:bookmarkStart w:id="8" w:name="growth_hormone_igf_1_axis_focus"/>
      <w:r>
        <w:rPr>
          <w:rFonts w:eastAsia="georgia" w:cs="georgia" w:ascii="georgia" w:hAnsi="georgia"/>
          <w:b/>
          <w:color w:val="000000"/>
          <w:sz w:val="24"/>
        </w:rPr>
        <w:t xml:space="preserve">Growth hormone / IGF‑1 axis focus</w:t>
      </w:r>
      <w:bookmarkEnd w:id="8"/>
    </w:p>
    <w:p>
      <w:pPr>
        <w:spacing w:line="360" w:after="210" w:lineRule="auto"/>
      </w:pPr>
      <w:r>
        <w:rPr>
          <w:rFonts w:eastAsia="georgia" w:cs="georgia" w:ascii="georgia" w:hAnsi="georgia"/>
          <w:color w:val="000000"/>
        </w:rPr>
        <w:t xml:space="preserve">In animal and human research, GHRH analogues and ghrelin mimetics have been used to study:</w:t>
      </w:r>
    </w:p>
    <w:p>
      <w:pPr>
        <w:numPr>
          <w:ilvl w:val="0"/>
          <w:numId w:val="3"/>
        </w:numPr>
        <w:spacing w:line="360" w:before="105" w:after="105" w:lineRule="auto"/>
      </w:pPr>
      <w:r>
        <w:rPr>
          <w:rFonts w:eastAsia="georgia" w:cs="georgia" w:ascii="georgia" w:hAnsi="georgia"/>
          <w:color w:val="000000"/>
          <w:sz w:val="21"/>
        </w:rPr>
        <w:t xml:space="preserve">Pituitary GH release dynamics (pulse frequency, amplitude, and pattern).[web:145][web:148][web:154]</w:t>
      </w:r>
    </w:p>
    <w:p>
      <w:pPr>
        <w:numPr>
          <w:ilvl w:val="0"/>
          <w:numId w:val="3"/>
        </w:numPr>
        <w:spacing w:line="360" w:before="105" w:after="105" w:lineRule="auto"/>
      </w:pPr>
      <w:r>
        <w:rPr>
          <w:rFonts w:eastAsia="georgia" w:cs="georgia" w:ascii="georgia" w:hAnsi="georgia"/>
          <w:color w:val="000000"/>
          <w:sz w:val="21"/>
        </w:rPr>
        <w:t xml:space="preserve">IGF‑1 production and feedback within the somatotropic axis.[web:152][web:154]</w:t>
      </w:r>
    </w:p>
    <w:p>
      <w:pPr>
        <w:numPr>
          <w:ilvl w:val="0"/>
          <w:numId w:val="3"/>
        </w:numPr>
        <w:spacing w:line="360" w:before="105" w:after="105" w:lineRule="auto"/>
      </w:pPr>
      <w:r>
        <w:rPr>
          <w:rFonts w:eastAsia="georgia" w:cs="georgia" w:ascii="georgia" w:hAnsi="georgia"/>
          <w:color w:val="000000"/>
          <w:sz w:val="21"/>
        </w:rPr>
        <w:t xml:space="preserve">Relationships between GH pulsatility and downstream metabolic, anabolic, and body‑composition markers.[web:148][web:151][web:154]</w:t>
      </w:r>
    </w:p>
    <w:p>
      <w:pPr>
        <w:spacing w:line="360" w:after="210" w:lineRule="auto"/>
      </w:pPr>
      <w:r>
        <w:rPr>
          <w:rFonts w:eastAsia="georgia" w:cs="georgia" w:ascii="georgia" w:hAnsi="georgia"/>
          <w:color w:val="000000"/>
        </w:rPr>
        <w:t xml:space="preserve">The CJC‑1295 No DAC + Ipamorelin blend is positioned as a tool for such mechanistic and systems‑level investigations in preclinical and tightly controlled early‑phase contexts.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key_research_themes"/>
      <w:r>
        <w:rPr>
          <w:rFonts w:eastAsia="georgia" w:cs="georgia" w:ascii="georgia" w:hAnsi="georgia"/>
          <w:b/>
          <w:color w:val="000000"/>
          <w:sz w:val="24"/>
        </w:rPr>
        <w:t xml:space="preserve">Key research themes</w:t>
      </w:r>
      <w:bookmarkEnd w:id="9"/>
    </w:p>
    <w:p>
      <w:pPr>
        <w:spacing w:line="360" w:before="315" w:after="105" w:lineRule="auto"/>
        <w:ind w:left="-30"/>
        <w:jc w:val="left"/>
      </w:pPr>
      <w:bookmarkStart w:id="10" w:name="bm_1_pituitary_pharmacology_and_g_c6ca78"/>
      <w:r>
        <w:rPr>
          <w:rFonts w:eastAsia="georgia" w:cs="georgia" w:ascii="georgia" w:hAnsi="georgia"/>
          <w:b/>
          <w:color w:val="000000"/>
          <w:sz w:val="24"/>
        </w:rPr>
        <w:t xml:space="preserve">1. Pituitary pharmacology and GH release profiling</w:t>
      </w:r>
      <w:bookmarkEnd w:id="10"/>
    </w:p>
    <w:p>
      <w:pPr>
        <w:spacing w:line="360" w:after="210" w:lineRule="auto"/>
      </w:pPr>
      <w:r>
        <w:rPr>
          <w:rFonts w:eastAsia="georgia" w:cs="georgia" w:ascii="georgia" w:hAnsi="georgia"/>
          <w:color w:val="000000"/>
        </w:rPr>
        <w:t xml:space="preserve">The blend is used in vitro and in vivo to characterise how combined GHRH receptor and ghrelin receptor activation shapes GH release:</w:t>
      </w:r>
    </w:p>
    <w:p>
      <w:pPr>
        <w:numPr>
          <w:ilvl w:val="0"/>
          <w:numId w:val="4"/>
        </w:numPr>
        <w:spacing w:line="360" w:before="105" w:after="105" w:lineRule="auto"/>
      </w:pPr>
      <w:r>
        <w:rPr>
          <w:rFonts w:eastAsia="georgia" w:cs="georgia" w:ascii="georgia" w:hAnsi="georgia"/>
          <w:color w:val="000000"/>
          <w:sz w:val="21"/>
        </w:rPr>
        <w:t xml:space="preserve">Comparison of GH output under single‑agent vs combined exposure.</w:t>
      </w:r>
    </w:p>
    <w:p>
      <w:pPr>
        <w:numPr>
          <w:ilvl w:val="0"/>
          <w:numId w:val="4"/>
        </w:numPr>
        <w:spacing w:line="360" w:before="105" w:after="105" w:lineRule="auto"/>
      </w:pPr>
      <w:r>
        <w:rPr>
          <w:rFonts w:eastAsia="georgia" w:cs="georgia" w:ascii="georgia" w:hAnsi="georgia"/>
          <w:color w:val="000000"/>
          <w:sz w:val="21"/>
        </w:rPr>
        <w:t xml:space="preserve">Time‑course studies of GH pulses (onset, peak, and decay) under dual‑pathway stimulation.</w:t>
      </w:r>
    </w:p>
    <w:p>
      <w:pPr>
        <w:numPr>
          <w:ilvl w:val="0"/>
          <w:numId w:val="4"/>
        </w:numPr>
        <w:spacing w:line="360" w:before="105" w:after="105" w:lineRule="auto"/>
      </w:pPr>
      <w:r>
        <w:rPr>
          <w:rFonts w:eastAsia="georgia" w:cs="georgia" w:ascii="georgia" w:hAnsi="georgia"/>
          <w:color w:val="000000"/>
          <w:sz w:val="21"/>
        </w:rPr>
        <w:t xml:space="preserve">Somatostatin interactions and potential overcoming of inhibitory tone in selected models.[web:145][web:148][web:154]</w:t>
      </w:r>
    </w:p>
    <w:p>
      <w:pPr>
        <w:spacing w:line="360" w:after="210" w:lineRule="auto"/>
      </w:pPr>
      <w:r>
        <w:rPr>
          <w:rFonts w:eastAsia="georgia" w:cs="georgia" w:ascii="georgia" w:hAnsi="georgia"/>
          <w:color w:val="000000"/>
        </w:rPr>
        <w:t xml:space="preserve">These studies help define synergy vs additivity at the pituitary level.</w:t>
      </w:r>
    </w:p>
    <w:p>
      <w:pPr>
        <w:spacing w:line="360" w:before="315" w:after="105" w:lineRule="auto"/>
        <w:ind w:left="-30"/>
        <w:jc w:val="left"/>
      </w:pPr>
      <w:bookmarkStart w:id="11" w:name="bm_2_igf_1_axis_and_downstream_si_c9fc67"/>
      <w:r>
        <w:rPr>
          <w:rFonts w:eastAsia="georgia" w:cs="georgia" w:ascii="georgia" w:hAnsi="georgia"/>
          <w:b/>
          <w:color w:val="000000"/>
          <w:sz w:val="24"/>
        </w:rPr>
        <w:t xml:space="preserve">2. IGF‑1 axis and downstream signalling</w:t>
      </w:r>
      <w:bookmarkEnd w:id="11"/>
    </w:p>
    <w:p>
      <w:pPr>
        <w:spacing w:line="360" w:after="210" w:lineRule="auto"/>
      </w:pPr>
      <w:r>
        <w:rPr>
          <w:rFonts w:eastAsia="georgia" w:cs="georgia" w:ascii="georgia" w:hAnsi="georgia"/>
          <w:color w:val="000000"/>
        </w:rPr>
        <w:t xml:space="preserve">In models where GH and IGF‑1 can be measured, GHRH + GHSR‑agonist combinations are used to:</w:t>
      </w:r>
    </w:p>
    <w:p>
      <w:pPr>
        <w:numPr>
          <w:ilvl w:val="0"/>
          <w:numId w:val="5"/>
        </w:numPr>
        <w:spacing w:line="360" w:before="105" w:after="105" w:lineRule="auto"/>
      </w:pPr>
      <w:r>
        <w:rPr>
          <w:rFonts w:eastAsia="georgia" w:cs="georgia" w:ascii="georgia" w:hAnsi="georgia"/>
          <w:color w:val="000000"/>
          <w:sz w:val="21"/>
        </w:rPr>
        <w:t xml:space="preserve">Track serum or tissue IGF‑1 responses to amplified GH pulsatility.</w:t>
      </w:r>
    </w:p>
    <w:p>
      <w:pPr>
        <w:numPr>
          <w:ilvl w:val="0"/>
          <w:numId w:val="5"/>
        </w:numPr>
        <w:spacing w:line="360" w:before="105" w:after="105" w:lineRule="auto"/>
      </w:pPr>
      <w:r>
        <w:rPr>
          <w:rFonts w:eastAsia="georgia" w:cs="georgia" w:ascii="georgia" w:hAnsi="georgia"/>
          <w:color w:val="000000"/>
          <w:sz w:val="21"/>
        </w:rPr>
        <w:t xml:space="preserve">Examine IGF‑1 receptor signalling (e.g., PI3K–Akt pathways) in target tissues.</w:t>
      </w:r>
    </w:p>
    <w:p>
      <w:pPr>
        <w:numPr>
          <w:ilvl w:val="0"/>
          <w:numId w:val="5"/>
        </w:numPr>
        <w:spacing w:line="360" w:before="105" w:after="105" w:lineRule="auto"/>
      </w:pPr>
      <w:r>
        <w:rPr>
          <w:rFonts w:eastAsia="georgia" w:cs="georgia" w:ascii="georgia" w:hAnsi="georgia"/>
          <w:color w:val="000000"/>
          <w:sz w:val="21"/>
        </w:rPr>
        <w:t xml:space="preserve">Evaluate feedback effects on hypothalamic–pituitary regulation over time.[web:148][web:152][web:154]</w:t>
      </w:r>
    </w:p>
    <w:p>
      <w:pPr>
        <w:spacing w:line="360" w:after="210" w:lineRule="auto"/>
      </w:pPr>
      <w:r>
        <w:rPr>
          <w:rFonts w:eastAsia="georgia" w:cs="georgia" w:ascii="georgia" w:hAnsi="georgia"/>
          <w:color w:val="000000"/>
        </w:rPr>
        <w:t xml:space="preserve">These investigations focus on basic physiology and pharmacology, not on clinical treatment protocols.</w:t>
      </w:r>
    </w:p>
    <w:p>
      <w:pPr>
        <w:spacing w:line="360" w:before="315" w:after="105" w:lineRule="auto"/>
        <w:ind w:left="-30"/>
        <w:jc w:val="left"/>
      </w:pPr>
      <w:bookmarkStart w:id="12" w:name="bm_3_metabolic_and_body_compositi_418e25"/>
      <w:r>
        <w:rPr>
          <w:rFonts w:eastAsia="georgia" w:cs="georgia" w:ascii="georgia" w:hAnsi="georgia"/>
          <w:b/>
          <w:color w:val="000000"/>
          <w:sz w:val="24"/>
        </w:rPr>
        <w:t xml:space="preserve">3. Metabolic and body‑composition research models</w:t>
      </w:r>
      <w:bookmarkEnd w:id="12"/>
    </w:p>
    <w:p>
      <w:pPr>
        <w:spacing w:line="360" w:after="210" w:lineRule="auto"/>
      </w:pPr>
      <w:r>
        <w:rPr>
          <w:rFonts w:eastAsia="georgia" w:cs="georgia" w:ascii="georgia" w:hAnsi="georgia"/>
          <w:color w:val="000000"/>
        </w:rPr>
        <w:t xml:space="preserve">Preclinical studies with growth hormone secretagogues often use body‑composition and metabolic endpoints to understand GH/IGF‑1 pathway effects:</w:t>
      </w:r>
    </w:p>
    <w:p>
      <w:pPr>
        <w:numPr>
          <w:ilvl w:val="0"/>
          <w:numId w:val="6"/>
        </w:numPr>
        <w:spacing w:line="360" w:before="105" w:after="105" w:lineRule="auto"/>
      </w:pPr>
      <w:r>
        <w:rPr>
          <w:rFonts w:eastAsia="georgia" w:cs="georgia" w:ascii="georgia" w:hAnsi="georgia"/>
          <w:color w:val="000000"/>
          <w:sz w:val="21"/>
        </w:rPr>
        <w:t xml:space="preserve">Lean mass and fat mass changes in animal models under controlled diet and dosing schedules.</w:t>
      </w:r>
    </w:p>
    <w:p>
      <w:pPr>
        <w:numPr>
          <w:ilvl w:val="0"/>
          <w:numId w:val="6"/>
        </w:numPr>
        <w:spacing w:line="360" w:before="105" w:after="105" w:lineRule="auto"/>
      </w:pPr>
      <w:r>
        <w:rPr>
          <w:rFonts w:eastAsia="georgia" w:cs="georgia" w:ascii="georgia" w:hAnsi="georgia"/>
          <w:color w:val="000000"/>
          <w:sz w:val="21"/>
        </w:rPr>
        <w:t xml:space="preserve">Markers of lipolysis, protein turnover, and nitrogen balance.</w:t>
      </w:r>
    </w:p>
    <w:p>
      <w:pPr>
        <w:numPr>
          <w:ilvl w:val="0"/>
          <w:numId w:val="6"/>
        </w:numPr>
        <w:spacing w:line="360" w:before="105" w:after="105" w:lineRule="auto"/>
      </w:pPr>
      <w:r>
        <w:rPr>
          <w:rFonts w:eastAsia="georgia" w:cs="georgia" w:ascii="georgia" w:hAnsi="georgia"/>
          <w:color w:val="000000"/>
          <w:sz w:val="21"/>
        </w:rPr>
        <w:t xml:space="preserve">Tissue‑specific gene expression related to metabolism and growth.[web:148][web:151][web:154]</w:t>
      </w:r>
    </w:p>
    <w:p>
      <w:pPr>
        <w:spacing w:line="360" w:after="210" w:lineRule="auto"/>
      </w:pPr>
      <w:r>
        <w:rPr>
          <w:rFonts w:eastAsia="georgia" w:cs="georgia" w:ascii="georgia" w:hAnsi="georgia"/>
          <w:color w:val="000000"/>
        </w:rPr>
        <w:t xml:space="preserve">When used, the CJC‑1295 No DAC + Ipamorelin blend serves as a defined dual‑pathway stimulus rather than as a stand‑alone “therapy.”</w:t>
      </w:r>
    </w:p>
    <w:p>
      <w:pPr>
        <w:spacing w:line="360" w:before="315" w:after="105" w:lineRule="auto"/>
        <w:ind w:left="-30"/>
        <w:jc w:val="left"/>
      </w:pPr>
      <w:bookmarkStart w:id="13" w:name="bm_4_aging_and_endocrine_research"/>
      <w:r>
        <w:rPr>
          <w:rFonts w:eastAsia="georgia" w:cs="georgia" w:ascii="georgia" w:hAnsi="georgia"/>
          <w:b/>
          <w:color w:val="000000"/>
          <w:sz w:val="24"/>
        </w:rPr>
        <w:t xml:space="preserve">4. Aging and endocrine research</w:t>
      </w:r>
      <w:bookmarkEnd w:id="13"/>
    </w:p>
    <w:p>
      <w:pPr>
        <w:spacing w:line="360" w:after="210" w:lineRule="auto"/>
      </w:pPr>
      <w:r>
        <w:rPr>
          <w:rFonts w:eastAsia="georgia" w:cs="georgia" w:ascii="georgia" w:hAnsi="georgia"/>
          <w:color w:val="000000"/>
        </w:rPr>
        <w:t xml:space="preserve">Age‑related declines in endogenous GH secretion have motivated research into GHRH analogues and GHSR agonists as tools to study somatopause and endocrine aging:</w:t>
      </w:r>
    </w:p>
    <w:p>
      <w:pPr>
        <w:numPr>
          <w:ilvl w:val="0"/>
          <w:numId w:val="7"/>
        </w:numPr>
        <w:spacing w:line="360" w:before="105" w:after="105" w:lineRule="auto"/>
      </w:pPr>
      <w:r>
        <w:rPr>
          <w:rFonts w:eastAsia="georgia" w:cs="georgia" w:ascii="georgia" w:hAnsi="georgia"/>
          <w:color w:val="000000"/>
          <w:sz w:val="21"/>
        </w:rPr>
        <w:t xml:space="preserve">Changes in GH pulse characteristics across age in animal models.</w:t>
      </w:r>
    </w:p>
    <w:p>
      <w:pPr>
        <w:numPr>
          <w:ilvl w:val="0"/>
          <w:numId w:val="7"/>
        </w:numPr>
        <w:spacing w:line="360" w:before="105" w:after="105" w:lineRule="auto"/>
      </w:pPr>
      <w:r>
        <w:rPr>
          <w:rFonts w:eastAsia="georgia" w:cs="georgia" w:ascii="georgia" w:hAnsi="georgia"/>
          <w:color w:val="000000"/>
          <w:sz w:val="21"/>
        </w:rPr>
        <w:t xml:space="preserve">Age‑dependent differences in pituitary responsiveness to GHRH and ghrelin mimetics.</w:t>
      </w:r>
    </w:p>
    <w:p>
      <w:pPr>
        <w:numPr>
          <w:ilvl w:val="0"/>
          <w:numId w:val="7"/>
        </w:numPr>
        <w:spacing w:line="360" w:before="105" w:after="105" w:lineRule="auto"/>
      </w:pPr>
      <w:r>
        <w:rPr>
          <w:rFonts w:eastAsia="georgia" w:cs="georgia" w:ascii="georgia" w:hAnsi="georgia"/>
          <w:color w:val="000000"/>
          <w:sz w:val="21"/>
        </w:rPr>
        <w:t xml:space="preserve">Effects on IGF‑1 levels and biomarkers of musculoskeletal and metabolic health in preclinical settings.[web:148][web:151][web:154]</w:t>
      </w:r>
    </w:p>
    <w:p>
      <w:pPr>
        <w:spacing w:line="360" w:after="210" w:lineRule="auto"/>
      </w:pPr>
      <w:r>
        <w:rPr>
          <w:rFonts w:eastAsia="georgia" w:cs="georgia" w:ascii="georgia" w:hAnsi="georgia"/>
          <w:color w:val="000000"/>
        </w:rPr>
        <w:t xml:space="preserve">These lines of research remain exploratory and are not equivalent to approved anti‑aging therapies.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form_handling_and_storage"/>
      <w:r>
        <w:rPr>
          <w:rFonts w:eastAsia="georgia" w:cs="georgia" w:ascii="georgia" w:hAnsi="georgia"/>
          <w:b/>
          <w:color w:val="000000"/>
          <w:sz w:val="24"/>
        </w:rPr>
        <w:t xml:space="preserve">Form, handling, and storage</w:t>
      </w:r>
      <w:bookmarkEnd w:id="14"/>
    </w:p>
    <w:p>
      <w:pPr>
        <w:spacing w:line="360" w:before="315" w:after="105" w:lineRule="auto"/>
        <w:ind w:left="-30"/>
        <w:jc w:val="left"/>
      </w:pPr>
      <w:bookmarkStart w:id="15" w:name="lyophilized_blend_storage"/>
      <w:r>
        <w:rPr>
          <w:rFonts w:eastAsia="georgia" w:cs="georgia" w:ascii="georgia" w:hAnsi="georgia"/>
          <w:b/>
          <w:color w:val="000000"/>
          <w:sz w:val="24"/>
        </w:rPr>
        <w:t xml:space="preserve">Lyophilized blend storage</w:t>
      </w:r>
      <w:bookmarkEnd w:id="15"/>
    </w:p>
    <w:p>
      <w:pPr>
        <w:numPr>
          <w:ilvl w:val="0"/>
          <w:numId w:val="8"/>
        </w:numPr>
        <w:spacing w:line="360" w:before="105" w:after="105" w:lineRule="auto"/>
      </w:pPr>
      <w:r>
        <w:rPr>
          <w:rFonts w:eastAsia="georgia" w:cs="georgia" w:ascii="georgia" w:hAnsi="georgia"/>
          <w:color w:val="000000"/>
          <w:sz w:val="21"/>
        </w:rPr>
        <w:t xml:space="preserve">Store unopened vials at 2–8 °C, protected from light and moisture.</w:t>
      </w:r>
    </w:p>
    <w:p>
      <w:pPr>
        <w:numPr>
          <w:ilvl w:val="0"/>
          <w:numId w:val="8"/>
        </w:numPr>
        <w:spacing w:line="360" w:before="105" w:after="105" w:lineRule="auto"/>
      </w:pPr>
      <w:r>
        <w:rPr>
          <w:rFonts w:eastAsia="georgia" w:cs="georgia" w:ascii="georgia" w:hAnsi="georgia"/>
          <w:color w:val="000000"/>
          <w:sz w:val="21"/>
        </w:rPr>
        <w:t xml:space="preserve">For longer‑term storage, many laboratories transfer peptide vials to −20 °C or below according to internal stability data and SOPs.[web:145][web:155][web:156]</w:t>
      </w:r>
    </w:p>
    <w:p>
      <w:pPr>
        <w:spacing w:line="360" w:before="315" w:after="105" w:lineRule="auto"/>
        <w:ind w:left="-30"/>
        <w:jc w:val="left"/>
      </w:pPr>
      <w:bookmarkStart w:id="16" w:name="reconstitution"/>
      <w:r>
        <w:rPr>
          <w:rFonts w:eastAsia="georgia" w:cs="georgia" w:ascii="georgia" w:hAnsi="georgia"/>
          <w:b/>
          <w:color w:val="000000"/>
          <w:sz w:val="24"/>
        </w:rPr>
        <w:t xml:space="preserve">Reconstitution</w:t>
      </w:r>
      <w:bookmarkEnd w:id="16"/>
    </w:p>
    <w:p>
      <w:pPr>
        <w:numPr>
          <w:ilvl w:val="0"/>
          <w:numId w:val="9"/>
        </w:numPr>
        <w:spacing w:line="360" w:before="105" w:after="105" w:lineRule="auto"/>
      </w:pPr>
      <w:r>
        <w:rPr>
          <w:rFonts w:eastAsia="georgia" w:cs="georgia" w:ascii="georgia" w:hAnsi="georgia"/>
          <w:color w:val="000000"/>
          <w:sz w:val="21"/>
        </w:rPr>
        <w:t xml:space="preserve">Reconstitute under aseptic conditions using bacteriostatic water (0.9% benzyl alcohol) or another sterile, peptide‑compatible buffer.</w:t>
      </w:r>
    </w:p>
    <w:p>
      <w:pPr>
        <w:numPr>
          <w:ilvl w:val="0"/>
          <w:numId w:val="9"/>
        </w:numPr>
        <w:spacing w:line="360" w:before="105" w:after="105" w:lineRule="auto"/>
      </w:pPr>
      <w:r>
        <w:rPr>
          <w:rFonts w:eastAsia="georgia" w:cs="georgia" w:ascii="georgia" w:hAnsi="georgia"/>
          <w:color w:val="000000"/>
          <w:sz w:val="21"/>
        </w:rPr>
        <w:t xml:space="preserve">Allow vial to reach room temperature briefly, then add solvent slowly along the inner wall.</w:t>
      </w:r>
    </w:p>
    <w:p>
      <w:pPr>
        <w:numPr>
          <w:ilvl w:val="0"/>
          <w:numId w:val="9"/>
        </w:numPr>
        <w:spacing w:line="360" w:before="105" w:after="105" w:lineRule="auto"/>
      </w:pPr>
      <w:r>
        <w:rPr>
          <w:rFonts w:eastAsia="georgia" w:cs="georgia" w:ascii="georgia" w:hAnsi="georgia"/>
          <w:color w:val="000000"/>
          <w:sz w:val="21"/>
        </w:rPr>
        <w:t xml:space="preserve">Swirl gently until the powder is fully dissolved; avoid vigorous shaking.</w:t>
      </w:r>
    </w:p>
    <w:p>
      <w:pPr>
        <w:numPr>
          <w:ilvl w:val="0"/>
          <w:numId w:val="9"/>
        </w:numPr>
        <w:spacing w:line="360" w:before="105" w:after="105" w:lineRule="auto"/>
      </w:pPr>
      <w:r>
        <w:rPr>
          <w:rFonts w:eastAsia="georgia" w:cs="georgia" w:ascii="georgia" w:hAnsi="georgia"/>
          <w:color w:val="000000"/>
          <w:sz w:val="21"/>
        </w:rPr>
        <w:t xml:space="preserve">Calculate the final concentration based on the total 10 mg content (5 mg CJC‑1295 No DAC + 5 mg Ipamorelin) and record working stocks.</w:t>
      </w:r>
    </w:p>
    <w:p>
      <w:pPr>
        <w:spacing w:line="360" w:before="315" w:after="105" w:lineRule="auto"/>
        <w:ind w:left="-30"/>
        <w:jc w:val="left"/>
      </w:pPr>
      <w:bookmarkStart w:id="17" w:name="reconstituted_solutions"/>
      <w:r>
        <w:rPr>
          <w:rFonts w:eastAsia="georgia" w:cs="georgia" w:ascii="georgia" w:hAnsi="georgia"/>
          <w:b/>
          <w:color w:val="000000"/>
          <w:sz w:val="24"/>
        </w:rPr>
        <w:t xml:space="preserve">Reconstituted solutions</w:t>
      </w:r>
      <w:bookmarkEnd w:id="17"/>
    </w:p>
    <w:p>
      <w:pPr>
        <w:numPr>
          <w:ilvl w:val="0"/>
          <w:numId w:val="10"/>
        </w:numPr>
        <w:spacing w:line="360" w:before="105" w:after="105" w:lineRule="auto"/>
      </w:pPr>
      <w:r>
        <w:rPr>
          <w:rFonts w:eastAsia="georgia" w:cs="georgia" w:ascii="georgia" w:hAnsi="georgia"/>
          <w:color w:val="000000"/>
          <w:sz w:val="21"/>
        </w:rPr>
        <w:t xml:space="preserve">For short‑term use, store at 2–8 °C and use within a limited window defined by internal stability and sterility data.</w:t>
      </w:r>
    </w:p>
    <w:p>
      <w:pPr>
        <w:numPr>
          <w:ilvl w:val="0"/>
          <w:numId w:val="10"/>
        </w:numPr>
        <w:spacing w:line="360" w:before="105" w:after="105" w:lineRule="auto"/>
      </w:pPr>
      <w:r>
        <w:rPr>
          <w:rFonts w:eastAsia="georgia" w:cs="georgia" w:ascii="georgia" w:hAnsi="georgia"/>
          <w:color w:val="000000"/>
          <w:sz w:val="21"/>
        </w:rPr>
        <w:t xml:space="preserve">For extended work, aliquot and freeze at −20 °C or below, minimizing freeze–thaw cycles.</w:t>
      </w:r>
    </w:p>
    <w:p>
      <w:pPr>
        <w:numPr>
          <w:ilvl w:val="0"/>
          <w:numId w:val="10"/>
        </w:numPr>
        <w:spacing w:line="360" w:before="105" w:after="105" w:lineRule="auto"/>
      </w:pPr>
      <w:r>
        <w:rPr>
          <w:rFonts w:eastAsia="georgia" w:cs="georgia" w:ascii="georgia" w:hAnsi="georgia"/>
          <w:color w:val="000000"/>
          <w:sz w:val="21"/>
        </w:rPr>
        <w:t xml:space="preserve">Inspect solutions visually before use and discard if turbidity, particulates, or discoloration are observed.[web:145][web:156]</w:t>
      </w:r>
    </w:p>
    <w:p>
      <w:pPr>
        <w:spacing w:line="360" w:after="210" w:lineRule="auto"/>
      </w:pPr>
      <w:r>
        <w:rPr>
          <w:rFonts w:eastAsia="georgia" w:cs="georgia" w:ascii="georgia" w:hAnsi="georgia"/>
          <w:color w:val="000000"/>
        </w:rPr>
        <w:t xml:space="preserve">Each laboratory should validate stability for its specific conditions and follow institutional quality and biosafety requirements.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analytical_quality_and_testing"/>
      <w:r>
        <w:rPr>
          <w:rFonts w:eastAsia="georgia" w:cs="georgia" w:ascii="georgia" w:hAnsi="georgia"/>
          <w:b/>
          <w:color w:val="000000"/>
          <w:sz w:val="24"/>
        </w:rPr>
        <w:t xml:space="preserve">Analytical quality and testing</w:t>
      </w:r>
      <w:bookmarkEnd w:id="18"/>
    </w:p>
    <w:p>
      <w:pPr>
        <w:spacing w:line="360" w:after="210" w:lineRule="auto"/>
      </w:pPr>
      <w:r>
        <w:rPr>
          <w:rFonts w:eastAsia="georgia" w:cs="georgia" w:ascii="georgia" w:hAnsi="georgia"/>
          <w:color w:val="000000"/>
        </w:rPr>
        <w:t xml:space="preserve">Typical analytical controls for a dual‑peptide blend include:</w:t>
      </w:r>
    </w:p>
    <w:p>
      <w:pPr>
        <w:numPr>
          <w:ilvl w:val="0"/>
          <w:numId w:val="11"/>
        </w:numPr>
        <w:spacing w:line="360" w:before="105" w:after="105" w:lineRule="auto"/>
      </w:pPr>
      <w:r>
        <w:rPr>
          <w:rFonts w:eastAsia="georgia" w:cs="georgia" w:ascii="georgia" w:hAnsi="georgia"/>
          <w:b/>
          <w:color w:val="000000"/>
          <w:sz w:val="21"/>
        </w:rPr>
        <w:t xml:space="preserve">Purity</w:t>
      </w:r>
    </w:p>
    <w:p>
      <w:pPr>
        <w:numPr>
          <w:ilvl w:val="1"/>
          <w:numId w:val="11"/>
        </w:numPr>
        <w:spacing w:line="360" w:before="105" w:after="105" w:lineRule="auto"/>
      </w:pPr>
      <w:r>
        <w:rPr>
          <w:rFonts w:eastAsia="georgia" w:cs="georgia" w:ascii="georgia" w:hAnsi="georgia"/>
          <w:color w:val="000000"/>
          <w:sz w:val="21"/>
        </w:rPr>
        <w:t xml:space="preserve">Reversed‑phase HPLC demonstrating high purity (often ≥98–99%) and clearly separated peaks for each component.[web:145][web:155]</w:t>
      </w:r>
    </w:p>
    <w:p>
      <w:pPr>
        <w:numPr>
          <w:ilvl w:val="0"/>
          <w:numId w:val="11"/>
        </w:numPr>
        <w:spacing w:line="360" w:before="105" w:after="105" w:lineRule="auto"/>
      </w:pPr>
      <w:r>
        <w:rPr>
          <w:rFonts w:eastAsia="georgia" w:cs="georgia" w:ascii="georgia" w:hAnsi="georgia"/>
          <w:b/>
          <w:color w:val="000000"/>
          <w:sz w:val="21"/>
        </w:rPr>
        <w:t xml:space="preserve">Identity</w:t>
      </w:r>
    </w:p>
    <w:p>
      <w:pPr>
        <w:numPr>
          <w:ilvl w:val="1"/>
          <w:numId w:val="11"/>
        </w:numPr>
        <w:spacing w:line="360" w:before="105" w:after="105" w:lineRule="auto"/>
      </w:pPr>
      <w:r>
        <w:rPr>
          <w:rFonts w:eastAsia="georgia" w:cs="georgia" w:ascii="georgia" w:hAnsi="georgia"/>
          <w:color w:val="000000"/>
          <w:sz w:val="21"/>
        </w:rPr>
        <w:t xml:space="preserve">Mass spectrometry confirming expected molecular weights and fragmentation patterns for CJC‑1295 (No DAC) and Ipamorelin.[web:147][web:150][web:155][web:156]</w:t>
      </w:r>
    </w:p>
    <w:p>
      <w:pPr>
        <w:numPr>
          <w:ilvl w:val="0"/>
          <w:numId w:val="11"/>
        </w:numPr>
        <w:spacing w:line="360" w:before="105" w:after="105" w:lineRule="auto"/>
      </w:pPr>
      <w:r>
        <w:rPr>
          <w:rFonts w:eastAsia="georgia" w:cs="georgia" w:ascii="georgia" w:hAnsi="georgia"/>
          <w:b/>
          <w:color w:val="000000"/>
          <w:sz w:val="21"/>
        </w:rPr>
        <w:t xml:space="preserve">Blend ratio</w:t>
      </w:r>
    </w:p>
    <w:p>
      <w:pPr>
        <w:numPr>
          <w:ilvl w:val="1"/>
          <w:numId w:val="11"/>
        </w:numPr>
        <w:spacing w:line="360" w:before="105" w:after="105" w:lineRule="auto"/>
      </w:pPr>
      <w:r>
        <w:rPr>
          <w:rFonts w:eastAsia="georgia" w:cs="georgia" w:ascii="georgia" w:hAnsi="georgia"/>
          <w:color w:val="000000"/>
          <w:sz w:val="21"/>
        </w:rPr>
        <w:t xml:space="preserve">Quantitative methods (e.g., HPLC peak area) verifying an approximate 1:1 mass ratio, within predefined acceptance limits.[web:145]</w:t>
      </w:r>
    </w:p>
    <w:p>
      <w:pPr>
        <w:numPr>
          <w:ilvl w:val="0"/>
          <w:numId w:val="11"/>
        </w:numPr>
        <w:spacing w:line="360" w:before="105" w:after="105" w:lineRule="auto"/>
      </w:pPr>
      <w:r>
        <w:rPr>
          <w:rFonts w:eastAsia="georgia" w:cs="georgia" w:ascii="georgia" w:hAnsi="georgia"/>
          <w:b/>
          <w:color w:val="000000"/>
          <w:sz w:val="21"/>
        </w:rPr>
        <w:t xml:space="preserve">Additional testing</w:t>
      </w:r>
    </w:p>
    <w:p>
      <w:pPr>
        <w:numPr>
          <w:ilvl w:val="1"/>
          <w:numId w:val="11"/>
        </w:numPr>
        <w:spacing w:line="360" w:before="105" w:after="105" w:lineRule="auto"/>
      </w:pPr>
      <w:r>
        <w:rPr>
          <w:rFonts w:eastAsia="georgia" w:cs="georgia" w:ascii="georgia" w:hAnsi="georgia"/>
          <w:color w:val="000000"/>
          <w:sz w:val="21"/>
        </w:rPr>
        <w:t xml:space="preserve">Endotoxin, microbial limits, residual solvent, and water‑content assessments appropriate for research‑grade peptides.[web:145][web:155]</w:t>
      </w:r>
    </w:p>
    <w:p>
      <w:pPr>
        <w:spacing w:line="360" w:after="210" w:lineRule="auto"/>
      </w:pPr>
      <w:r>
        <w:rPr>
          <w:rFonts w:eastAsia="georgia" w:cs="georgia" w:ascii="georgia" w:hAnsi="georgia"/>
          <w:color w:val="000000"/>
        </w:rPr>
        <w:t xml:space="preserve">Batch‑specific Certificates of Analysis (COAs) provide detailed values, methods, and acceptance criteria and should be reviewed before use.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positioning_in_a_research_catalog"/>
      <w:r>
        <w:rPr>
          <w:rFonts w:eastAsia="georgia" w:cs="georgia" w:ascii="georgia" w:hAnsi="georgia"/>
          <w:b/>
          <w:color w:val="000000"/>
          <w:sz w:val="24"/>
        </w:rPr>
        <w:t xml:space="preserve">Positioning in a research catalog</w:t>
      </w:r>
      <w:bookmarkEnd w:id="19"/>
    </w:p>
    <w:p>
      <w:pPr>
        <w:spacing w:line="360" w:after="210" w:lineRule="auto"/>
      </w:pPr>
      <w:r>
        <w:rPr>
          <w:rFonts w:eastAsia="georgia" w:cs="georgia" w:ascii="georgia" w:hAnsi="georgia"/>
          <w:color w:val="000000"/>
        </w:rPr>
        <w:t xml:space="preserve">For a research‑focused ecommerce catalog, this description:</w:t>
      </w:r>
    </w:p>
    <w:p>
      <w:pPr>
        <w:numPr>
          <w:ilvl w:val="0"/>
          <w:numId w:val="12"/>
        </w:numPr>
        <w:spacing w:line="360" w:before="105" w:after="105" w:lineRule="auto"/>
      </w:pPr>
      <w:r>
        <w:rPr>
          <w:rFonts w:eastAsia="georgia" w:cs="georgia" w:ascii="georgia" w:hAnsi="georgia"/>
          <w:color w:val="000000"/>
          <w:sz w:val="21"/>
        </w:rPr>
        <w:t xml:space="preserve">Clearly identifies the CJC‑1295 No DAC + Ipamorelin composition and the rationale for dual‑pathway GH axis stimulation.[web:143][web:144][web:145][web:154]</w:t>
      </w:r>
    </w:p>
    <w:p>
      <w:pPr>
        <w:numPr>
          <w:ilvl w:val="0"/>
          <w:numId w:val="12"/>
        </w:numPr>
        <w:spacing w:line="360" w:before="105" w:after="105" w:lineRule="auto"/>
      </w:pPr>
      <w:r>
        <w:rPr>
          <w:rFonts w:eastAsia="georgia" w:cs="georgia" w:ascii="georgia" w:hAnsi="georgia"/>
          <w:color w:val="000000"/>
          <w:sz w:val="21"/>
        </w:rPr>
        <w:t xml:space="preserve">Emphasises mechanistic and methodological applications (GH pulses, IGF‑1 axis, metabolic models) without suggesting clinical or performance uses.[web:148][web:151]</w:t>
      </w:r>
    </w:p>
    <w:p>
      <w:pPr>
        <w:numPr>
          <w:ilvl w:val="0"/>
          <w:numId w:val="12"/>
        </w:numPr>
        <w:spacing w:line="360" w:before="105" w:after="105" w:lineRule="auto"/>
      </w:pPr>
      <w:r>
        <w:rPr>
          <w:rFonts w:eastAsia="georgia" w:cs="georgia" w:ascii="georgia" w:hAnsi="georgia"/>
          <w:color w:val="000000"/>
          <w:sz w:val="21"/>
        </w:rPr>
        <w:t xml:space="preserve">Provides handling, storage, and analytical‑quality details aligned with typical laboratory requirements.[web:145][web:155][web:156]</w:t>
      </w:r>
    </w:p>
    <w:p>
      <w:pPr>
        <w:spacing w:line="360" w:after="210" w:lineRule="auto"/>
      </w:pPr>
      <w:r>
        <w:rPr>
          <w:rFonts w:eastAsia="georgia" w:cs="georgia" w:ascii="georgia" w:hAnsi="georgia"/>
          <w:color w:val="000000"/>
        </w:rPr>
        <w:t xml:space="preserve">You can deploy this text as the main on‑page description and, if desired, adapt sections into a downloadable technical data sheet.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research_use_only_and_safety_notice"/>
      <w:r>
        <w:rPr>
          <w:rFonts w:eastAsia="georgia" w:cs="georgia" w:ascii="georgia" w:hAnsi="georgia"/>
          <w:b/>
          <w:color w:val="000000"/>
          <w:sz w:val="24"/>
        </w:rPr>
        <w:t xml:space="preserve">Research‑use‑only and safety notice</w:t>
      </w:r>
      <w:bookmarkEnd w:id="20"/>
    </w:p>
    <w:p>
      <w:pPr>
        <w:spacing w:line="360" w:after="210" w:lineRule="auto"/>
        <w:ind w:left="630"/>
      </w:pPr>
      <w:r>
        <w:rPr>
          <w:rFonts w:eastAsia="georgia" w:cs="georgia" w:ascii="georgia" w:hAnsi="georgia"/>
          <w:b/>
          <w:color w:val="000000"/>
        </w:rPr>
        <w:t xml:space="preserve">FOR LABORATORY RESEARCH USE ONLY – NOT FOR HUMAN OR VETERINARY USE</w:t>
      </w:r>
      <w:r>
        <w:rPr>
          <w:rFonts w:eastAsia="georgia" w:cs="georgia" w:ascii="georgia" w:hAnsi="georgia"/>
          <w:color w:val="000000"/>
        </w:rPr>
        <w:br w:type="textWrapping"/>
      </w:r>
      <w:r>
        <w:rPr>
          <w:rFonts w:eastAsia="georgia" w:cs="georgia" w:ascii="georgia" w:hAnsi="georgia"/>
          <w:color w:val="000000"/>
        </w:rPr>
        <w:t xml:space="preserve">The CJC‑1295 No DAC (5 mg) + Ipamorelin (5 mg) Blend is supplied exclusively as a research peptide formulation for in‑vitro assays and in‑vivo animal studies conducted under institutional oversight. It has not been evaluated or approved by the FDA, EMA, or other regulatory authorities for therapeutic, cosmetic, performance, or dietary applications.[web:144][web:151][web:152]</w:t>
      </w:r>
    </w:p>
    <w:p>
      <w:pPr>
        <w:spacing w:line="360" w:after="210" w:lineRule="auto"/>
        <w:ind w:left="630"/>
      </w:pPr>
      <w:r>
        <w:rPr>
          <w:rFonts w:eastAsia="georgia" w:cs="georgia" w:ascii="georgia" w:hAnsi="georgia"/>
          <w:color w:val="000000"/>
        </w:rPr>
        <w:t xml:space="preserve">This material must not be used for diagnosis, treatment, mitigation, cure, or prevention of any disease, and must not be administered to humans or animals outside properly approved research protocols. All handling should comply with applicable biosafety, chemical‑safety, and waste‑disposal regulations.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2026-04-30T10:25:32.940Z</dcterms:created>
  <dcterms:modified xsi:type="dcterms:W3CDTF">2026-04-30T10:25:32.940Z</dcterms:modified>
</cp:coreProperties>
</file>