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sip_delta_sleep_inducing_peptide_49f6f2"/>
      <w:r>
        <w:rPr>
          <w:rFonts w:eastAsia="georgia" w:cs="georgia" w:ascii="georgia" w:hAnsi="georgia"/>
          <w:b/>
          <w:color w:val="000000"/>
          <w:sz w:val="39"/>
        </w:rPr>
        <w:t xml:space="preserve">DSIP (Delta Sleep-Inducing Peptide) 5 mg – Nonapeptide Research Peptide</w:t>
      </w:r>
      <w:bookmarkEnd w:id="0"/>
    </w:p>
    <w:p>
      <w:pPr>
        <w:spacing w:line="360" w:before="315" w:after="105" w:lineRule="auto"/>
        <w:ind w:left="-30"/>
        <w:jc w:val="left"/>
      </w:pPr>
      <w:bookmarkStart w:id="1" w:name="product_overview"/>
      <w:r>
        <w:rPr>
          <w:rFonts w:eastAsia="georgia" w:cs="georgia" w:ascii="georgia" w:hAnsi="georgia"/>
          <w:b/>
          <w:color w:val="000000"/>
          <w:sz w:val="24"/>
        </w:rPr>
        <w:t xml:space="preserve">Product overview</w:t>
      </w:r>
      <w:bookmarkEnd w:id="1"/>
    </w:p>
    <w:p>
      <w:pPr>
        <w:spacing w:line="360" w:after="210" w:lineRule="auto"/>
      </w:pPr>
      <w:r>
        <w:rPr>
          <w:rFonts w:eastAsia="georgia" w:cs="georgia" w:ascii="georgia" w:hAnsi="georgia"/>
          <w:color w:val="000000"/>
        </w:rPr>
        <w:t xml:space="preserve">Delta Sleep-Inducing Peptide (DSIP) is a naturally occurring neuropeptide composed of nine amino acids with the sequence Trp‑Ala‑Gly‑Gly‑Asp‑Ala‑Ser‑Gly‑Glu.[web:72][web:81] It was originally isolated from the cerebral venous blood of sleeping rabbits in the 1970s and later synthesized for use as a standardized research reagent.[web:81][web:82]</w:t>
      </w:r>
    </w:p>
    <w:p>
      <w:pPr>
        <w:spacing w:line="360" w:after="210" w:lineRule="auto"/>
      </w:pPr>
      <w:r>
        <w:rPr>
          <w:rFonts w:eastAsia="georgia" w:cs="georgia" w:ascii="georgia" w:hAnsi="georgia"/>
          <w:color w:val="000000"/>
        </w:rPr>
        <w:t xml:space="preserve">In experimental settings, DSIP is investigated for its role in sleep architecture, stress‑response regulation, and broader neuroendocrine signaling rather than as a sedative in the traditional sense.[web:72][web:74][web:76] This 5 mg lyophilized format is suited to acute experiments, dose‑response work, and pilot protocols that require smaller peptide quantities.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quick_product_snapshot"/>
      <w:r>
        <w:rPr>
          <w:rFonts w:eastAsia="georgia" w:cs="georgia" w:ascii="georgia" w:hAnsi="georgia"/>
          <w:b/>
          <w:color w:val="000000"/>
          <w:sz w:val="24"/>
        </w:rPr>
        <w:t xml:space="preserve">Quick product snapshot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DSIP (Delta Sleep-Inducing Peptide) 5 mg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Peptide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Endogenous‑sequence nonapeptide neuropeptide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Content per vial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 mg lyophilized peptide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Sequence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Trp‑Ala‑Gly‑Gly‑Asp‑Ala‑Ser‑Gly‑Glu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Molecular formula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C₃₅H₄₈N₁₀O₁₅</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Molecular weight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~848.8 g/mol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 number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62568‑57‑4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PubChem CID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68816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Appearance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White to off‑white lyophilized powder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Storage (dry)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 °C to −80 °C, protected from light and moisture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Intended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In‑vitro and preclinical research only</w:t>
            </w:r>
          </w:p>
        </w:tc>
      </w:tr>
    </w:tbl>
    <w:p>
      <w:pPr>
        <w:spacing w:lineRule="auto"/>
      </w:pPr>
    </w:p>
    <w:p>
      <w:pPr>
        <w:spacing w:line="360" w:after="210" w:lineRule="auto"/>
      </w:pPr>
      <w:r>
        <w:rPr>
          <w:rFonts w:eastAsia="georgia" w:cs="georgia" w:ascii="georgia" w:hAnsi="georgia"/>
          <w:color w:val="000000"/>
        </w:rPr>
        <w:t xml:space="preserve">Molecular identifiers and sequence are based on widely cited chemical and peptide references.[web:72][web:73][web:79]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dentity_and_structure"/>
      <w:r>
        <w:rPr>
          <w:rFonts w:eastAsia="georgia" w:cs="georgia" w:ascii="georgia" w:hAnsi="georgia"/>
          <w:b/>
          <w:color w:val="000000"/>
          <w:sz w:val="24"/>
        </w:rPr>
        <w:t xml:space="preserve">Identity and structure</w:t>
      </w:r>
      <w:bookmarkEnd w:id="3"/>
    </w:p>
    <w:p>
      <w:pPr>
        <w:spacing w:line="360" w:after="210" w:lineRule="auto"/>
      </w:pPr>
      <w:r>
        <w:rPr>
          <w:rFonts w:eastAsia="georgia" w:cs="georgia" w:ascii="georgia" w:hAnsi="georgia"/>
          <w:color w:val="000000"/>
        </w:rPr>
        <w:t xml:space="preserve">DSIP is classified as a nonapeptide neuropeptide and is often referred to by the synonym emideltide.[web:73][web:76] The sequence Trp‑Ala‑Gly‑Gly‑Asp‑Ala‑Ser‑Gly‑Glu (WAGGDASGE) produces a peptide with amphiphilic properties and a molecular mass around 848–850 daltons.[web:72][web:73]</w:t>
      </w:r>
    </w:p>
    <w:p>
      <w:pPr>
        <w:spacing w:line="360" w:after="210" w:lineRule="auto"/>
      </w:pPr>
      <w:r>
        <w:rPr>
          <w:rFonts w:eastAsia="georgia" w:cs="georgia" w:ascii="georgia" w:hAnsi="georgia"/>
          <w:b/>
          <w:color w:val="000000"/>
        </w:rPr>
        <w:t xml:space="preserve">Core identity points</w:t>
      </w:r>
    </w:p>
    <w:p>
      <w:pPr>
        <w:numPr>
          <w:ilvl w:val="0"/>
          <w:numId w:val="1"/>
        </w:numPr>
        <w:spacing w:line="360" w:before="105" w:after="105" w:lineRule="auto"/>
      </w:pPr>
      <w:r>
        <w:rPr>
          <w:rFonts w:eastAsia="georgia" w:cs="georgia" w:ascii="georgia" w:hAnsi="georgia"/>
          <w:color w:val="000000"/>
          <w:sz w:val="21"/>
        </w:rPr>
        <w:t xml:space="preserve">Amino acid sequence: Trp‑Ala‑Gly‑Gly‑Asp‑Ala‑Ser‑Gly‑Glu</w:t>
      </w:r>
    </w:p>
    <w:p>
      <w:pPr>
        <w:numPr>
          <w:ilvl w:val="0"/>
          <w:numId w:val="1"/>
        </w:numPr>
        <w:spacing w:line="360" w:before="105" w:after="105" w:lineRule="auto"/>
      </w:pPr>
      <w:r>
        <w:rPr>
          <w:rFonts w:eastAsia="georgia" w:cs="georgia" w:ascii="georgia" w:hAnsi="georgia"/>
          <w:color w:val="000000"/>
          <w:sz w:val="21"/>
        </w:rPr>
        <w:t xml:space="preserve">Length: 9 amino acids (nonapeptide)</w:t>
      </w:r>
    </w:p>
    <w:p>
      <w:pPr>
        <w:numPr>
          <w:ilvl w:val="0"/>
          <w:numId w:val="1"/>
        </w:numPr>
        <w:spacing w:line="360" w:before="105" w:after="105" w:lineRule="auto"/>
      </w:pPr>
      <w:r>
        <w:rPr>
          <w:rFonts w:eastAsia="georgia" w:cs="georgia" w:ascii="georgia" w:hAnsi="georgia"/>
          <w:color w:val="000000"/>
          <w:sz w:val="21"/>
        </w:rPr>
        <w:t xml:space="preserve">Molecular formula: C₃₅H₄₈N₁₀O₁₅</w:t>
      </w:r>
    </w:p>
    <w:p>
      <w:pPr>
        <w:numPr>
          <w:ilvl w:val="0"/>
          <w:numId w:val="1"/>
        </w:numPr>
        <w:spacing w:line="360" w:before="105" w:after="105" w:lineRule="auto"/>
      </w:pPr>
      <w:r>
        <w:rPr>
          <w:rFonts w:eastAsia="georgia" w:cs="georgia" w:ascii="georgia" w:hAnsi="georgia"/>
          <w:color w:val="000000"/>
          <w:sz w:val="21"/>
        </w:rPr>
        <w:t xml:space="preserve">Approximate molecular weight: 848.8 g/mol</w:t>
      </w:r>
    </w:p>
    <w:p>
      <w:pPr>
        <w:numPr>
          <w:ilvl w:val="0"/>
          <w:numId w:val="1"/>
        </w:numPr>
        <w:spacing w:line="360" w:before="105" w:after="105" w:lineRule="auto"/>
      </w:pPr>
      <w:r>
        <w:rPr>
          <w:rFonts w:eastAsia="georgia" w:cs="georgia" w:ascii="georgia" w:hAnsi="georgia"/>
          <w:color w:val="000000"/>
          <w:sz w:val="21"/>
        </w:rPr>
        <w:t xml:space="preserve">CAS: 62568‑57‑4</w:t>
      </w:r>
    </w:p>
    <w:p>
      <w:pPr>
        <w:numPr>
          <w:ilvl w:val="0"/>
          <w:numId w:val="1"/>
        </w:numPr>
        <w:spacing w:line="360" w:before="105" w:after="105" w:lineRule="auto"/>
      </w:pPr>
      <w:r>
        <w:rPr>
          <w:rFonts w:eastAsia="georgia" w:cs="georgia" w:ascii="georgia" w:hAnsi="georgia"/>
          <w:color w:val="000000"/>
          <w:sz w:val="21"/>
        </w:rPr>
        <w:t xml:space="preserve">PubChem CID: 68816[web:72][web:79]</w:t>
      </w:r>
    </w:p>
    <w:p>
      <w:pPr>
        <w:spacing w:line="360" w:after="210" w:lineRule="auto"/>
      </w:pPr>
      <w:r>
        <w:rPr>
          <w:rFonts w:eastAsia="georgia" w:cs="georgia" w:ascii="georgia" w:hAnsi="georgia"/>
          <w:color w:val="000000"/>
        </w:rPr>
        <w:t xml:space="preserve">Endogenous DSIP‑like immunoreactivity has been reported in hypothalamus, limbic structures, pituitary, and various peripheral tissues, which has motivated its use as a model peptide in sleep and stress‑biology experiments.[web:73][web:76]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cientific_background_non_clinical"/>
      <w:r>
        <w:rPr>
          <w:rFonts w:eastAsia="georgia" w:cs="georgia" w:ascii="georgia" w:hAnsi="georgia"/>
          <w:b/>
          <w:color w:val="000000"/>
          <w:sz w:val="24"/>
        </w:rPr>
        <w:t xml:space="preserve">Scientific background (non‑clinical)</w:t>
      </w:r>
      <w:bookmarkEnd w:id="4"/>
    </w:p>
    <w:p>
      <w:pPr>
        <w:spacing w:line="360" w:before="315" w:after="105" w:lineRule="auto"/>
        <w:ind w:left="-30"/>
        <w:jc w:val="left"/>
      </w:pPr>
      <w:bookmarkStart w:id="5" w:name="discovery_and_sleep_context"/>
      <w:r>
        <w:rPr>
          <w:rFonts w:eastAsia="georgia" w:cs="georgia" w:ascii="georgia" w:hAnsi="georgia"/>
          <w:b/>
          <w:color w:val="000000"/>
          <w:sz w:val="24"/>
        </w:rPr>
        <w:t xml:space="preserve">Discovery and sleep context</w:t>
      </w:r>
      <w:bookmarkEnd w:id="5"/>
    </w:p>
    <w:p>
      <w:pPr>
        <w:spacing w:line="360" w:after="210" w:lineRule="auto"/>
      </w:pPr>
      <w:r>
        <w:rPr>
          <w:rFonts w:eastAsia="georgia" w:cs="georgia" w:ascii="georgia" w:hAnsi="georgia"/>
          <w:color w:val="000000"/>
        </w:rPr>
        <w:t xml:space="preserve">DSIP was first identified when hemodialysates from sleeping rabbits were found to promote spindle and delta electroencephalogram (EEG) activity and reduce motor behavior in recipient animals.[web:72][web:81][web:82] Subsequent work showed that DSIP can influence slow‑wave (delta) sleep and spindle patterns in several species, although results vary between models and study designs.[web:72][web:80]</w:t>
      </w:r>
    </w:p>
    <w:p>
      <w:pPr>
        <w:spacing w:line="360" w:after="210" w:lineRule="auto"/>
      </w:pPr>
      <w:r>
        <w:rPr>
          <w:rFonts w:eastAsia="georgia" w:cs="georgia" w:ascii="georgia" w:hAnsi="georgia"/>
          <w:color w:val="000000"/>
        </w:rPr>
        <w:t xml:space="preserve">Because of this, DSIP is used primarily as a tool to study sleep architecture and the interaction between neuropeptides, circadian timing, and endocrine regulation rather than as a conventional hypnotic agent.[web:72][web:74]</w:t>
      </w:r>
    </w:p>
    <w:p>
      <w:pPr>
        <w:spacing w:line="360" w:before="315" w:after="105" w:lineRule="auto"/>
        <w:ind w:left="-30"/>
        <w:jc w:val="left"/>
      </w:pPr>
      <w:bookmarkStart w:id="6" w:name="broader_neuroendocrine_and_stress_f271cc"/>
      <w:r>
        <w:rPr>
          <w:rFonts w:eastAsia="georgia" w:cs="georgia" w:ascii="georgia" w:hAnsi="georgia"/>
          <w:b/>
          <w:color w:val="000000"/>
          <w:sz w:val="24"/>
        </w:rPr>
        <w:t xml:space="preserve">Broader neuroendocrine and stress research</w:t>
      </w:r>
      <w:bookmarkEnd w:id="6"/>
    </w:p>
    <w:p>
      <w:pPr>
        <w:spacing w:line="360" w:after="210" w:lineRule="auto"/>
      </w:pPr>
      <w:r>
        <w:rPr>
          <w:rFonts w:eastAsia="georgia" w:cs="georgia" w:ascii="georgia" w:hAnsi="georgia"/>
          <w:color w:val="000000"/>
        </w:rPr>
        <w:t xml:space="preserve">Beyond sleep, DSIP has been examined for its potential roles in:</w:t>
      </w:r>
    </w:p>
    <w:p>
      <w:pPr>
        <w:numPr>
          <w:ilvl w:val="0"/>
          <w:numId w:val="2"/>
        </w:numPr>
        <w:spacing w:line="360" w:before="105" w:after="105" w:lineRule="auto"/>
      </w:pPr>
      <w:r>
        <w:rPr>
          <w:rFonts w:eastAsia="georgia" w:cs="georgia" w:ascii="georgia" w:hAnsi="georgia"/>
          <w:color w:val="000000"/>
          <w:sz w:val="21"/>
        </w:rPr>
        <w:t xml:space="preserve">Modulation of hypothalamic–pituitary–adrenal (HPA) axis activity and stress‑induced hormone changes.[web:74][web:77]</w:t>
      </w:r>
    </w:p>
    <w:p>
      <w:pPr>
        <w:numPr>
          <w:ilvl w:val="0"/>
          <w:numId w:val="2"/>
        </w:numPr>
        <w:spacing w:line="360" w:before="105" w:after="105" w:lineRule="auto"/>
      </w:pPr>
      <w:r>
        <w:rPr>
          <w:rFonts w:eastAsia="georgia" w:cs="georgia" w:ascii="georgia" w:hAnsi="georgia"/>
          <w:color w:val="000000"/>
          <w:sz w:val="21"/>
        </w:rPr>
        <w:t xml:space="preserve">Interactions with neurotransmitter systems involved in mood, pain processing, and arousal.</w:t>
      </w:r>
    </w:p>
    <w:p>
      <w:pPr>
        <w:numPr>
          <w:ilvl w:val="0"/>
          <w:numId w:val="2"/>
        </w:numPr>
        <w:spacing w:line="360" w:before="105" w:after="105" w:lineRule="auto"/>
      </w:pPr>
      <w:r>
        <w:rPr>
          <w:rFonts w:eastAsia="georgia" w:cs="georgia" w:ascii="georgia" w:hAnsi="georgia"/>
          <w:color w:val="000000"/>
          <w:sz w:val="21"/>
        </w:rPr>
        <w:t xml:space="preserve">Effects on endocrine markers such as cortisol/corticosterone, growth hormone, and melatonin in experimental settings.[web:72][web:76]</w:t>
      </w:r>
    </w:p>
    <w:p>
      <w:pPr>
        <w:spacing w:line="360" w:after="210" w:lineRule="auto"/>
      </w:pPr>
      <w:r>
        <w:rPr>
          <w:rFonts w:eastAsia="georgia" w:cs="georgia" w:ascii="georgia" w:hAnsi="georgia"/>
          <w:color w:val="000000"/>
        </w:rPr>
        <w:t xml:space="preserve">These findings have led to broader use of DSIP in stress, pain, and neuroprotection research.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key_research_themes"/>
      <w:r>
        <w:rPr>
          <w:rFonts w:eastAsia="georgia" w:cs="georgia" w:ascii="georgia" w:hAnsi="georgia"/>
          <w:b/>
          <w:color w:val="000000"/>
          <w:sz w:val="24"/>
        </w:rPr>
        <w:t xml:space="preserve">Key research themes</w:t>
      </w:r>
      <w:bookmarkEnd w:id="7"/>
    </w:p>
    <w:p>
      <w:pPr>
        <w:spacing w:line="360" w:before="315" w:after="105" w:lineRule="auto"/>
        <w:ind w:left="-30"/>
        <w:jc w:val="left"/>
      </w:pPr>
      <w:bookmarkStart w:id="8" w:name="bm_1_sleep_architecture_and_circa_55b8fb"/>
      <w:r>
        <w:rPr>
          <w:rFonts w:eastAsia="georgia" w:cs="georgia" w:ascii="georgia" w:hAnsi="georgia"/>
          <w:b/>
          <w:color w:val="000000"/>
          <w:sz w:val="24"/>
        </w:rPr>
        <w:t xml:space="preserve">1. Sleep architecture and circadian rhythm</w:t>
      </w:r>
      <w:bookmarkEnd w:id="8"/>
    </w:p>
    <w:p>
      <w:pPr>
        <w:spacing w:line="360" w:after="210" w:lineRule="auto"/>
      </w:pPr>
      <w:r>
        <w:rPr>
          <w:rFonts w:eastAsia="georgia" w:cs="georgia" w:ascii="georgia" w:hAnsi="georgia"/>
          <w:color w:val="000000"/>
        </w:rPr>
        <w:t xml:space="preserve">DSIP is most closely associated with sleep research:</w:t>
      </w:r>
    </w:p>
    <w:p>
      <w:pPr>
        <w:numPr>
          <w:ilvl w:val="0"/>
          <w:numId w:val="3"/>
        </w:numPr>
        <w:spacing w:line="360" w:before="105" w:after="105" w:lineRule="auto"/>
      </w:pPr>
      <w:r>
        <w:rPr>
          <w:rFonts w:eastAsia="georgia" w:cs="georgia" w:ascii="georgia" w:hAnsi="georgia"/>
          <w:color w:val="000000"/>
          <w:sz w:val="21"/>
        </w:rPr>
        <w:t xml:space="preserve">Studies report changes in delta and spindle EEG activity, sleep onset latency, and sleep continuity in animal and human models after DSIP administration.[web:72][web:80]</w:t>
      </w:r>
    </w:p>
    <w:p>
      <w:pPr>
        <w:numPr>
          <w:ilvl w:val="0"/>
          <w:numId w:val="3"/>
        </w:numPr>
        <w:spacing w:line="360" w:before="105" w:after="105" w:lineRule="auto"/>
      </w:pPr>
      <w:r>
        <w:rPr>
          <w:rFonts w:eastAsia="georgia" w:cs="georgia" w:ascii="georgia" w:hAnsi="georgia"/>
          <w:color w:val="000000"/>
          <w:sz w:val="21"/>
        </w:rPr>
        <w:t xml:space="preserve">Effects appear species‑ and protocol‑dependent, with some experiments showing normalization of disturbed sleep and modest improvements in sleep efficiency.[web:72][web:80]</w:t>
      </w:r>
    </w:p>
    <w:p>
      <w:pPr>
        <w:spacing w:line="360" w:after="210" w:lineRule="auto"/>
      </w:pPr>
      <w:r>
        <w:rPr>
          <w:rFonts w:eastAsia="georgia" w:cs="georgia" w:ascii="georgia" w:hAnsi="georgia"/>
          <w:color w:val="000000"/>
        </w:rPr>
        <w:t xml:space="preserve">These properties make DSIP a useful probe for exploring natural sleep regulation rather than pharmacological sedation.</w:t>
      </w:r>
    </w:p>
    <w:p>
      <w:pPr>
        <w:spacing w:line="360" w:before="315" w:after="105" w:lineRule="auto"/>
        <w:ind w:left="-30"/>
        <w:jc w:val="left"/>
      </w:pPr>
      <w:bookmarkStart w:id="9" w:name="bm_2_stress_response_and_hpa_axis_36214e"/>
      <w:r>
        <w:rPr>
          <w:rFonts w:eastAsia="georgia" w:cs="georgia" w:ascii="georgia" w:hAnsi="georgia"/>
          <w:b/>
          <w:color w:val="000000"/>
          <w:sz w:val="24"/>
        </w:rPr>
        <w:t xml:space="preserve">2. Stress response and HPA‑axis modulation</w:t>
      </w:r>
      <w:bookmarkEnd w:id="9"/>
    </w:p>
    <w:p>
      <w:pPr>
        <w:spacing w:line="360" w:after="210" w:lineRule="auto"/>
      </w:pPr>
      <w:r>
        <w:rPr>
          <w:rFonts w:eastAsia="georgia" w:cs="georgia" w:ascii="georgia" w:hAnsi="georgia"/>
          <w:color w:val="000000"/>
        </w:rPr>
        <w:t xml:space="preserve">Experimental work has examined DSIP in acute and chronic stress models:</w:t>
      </w:r>
    </w:p>
    <w:p>
      <w:pPr>
        <w:numPr>
          <w:ilvl w:val="0"/>
          <w:numId w:val="4"/>
        </w:numPr>
        <w:spacing w:line="360" w:before="105" w:after="105" w:lineRule="auto"/>
      </w:pPr>
      <w:r>
        <w:rPr>
          <w:rFonts w:eastAsia="georgia" w:cs="georgia" w:ascii="georgia" w:hAnsi="georgia"/>
          <w:color w:val="000000"/>
          <w:sz w:val="21"/>
        </w:rPr>
        <w:t xml:space="preserve">Modulation of ACTH and cortisol/corticosterone responses to stressors.</w:t>
      </w:r>
    </w:p>
    <w:p>
      <w:pPr>
        <w:numPr>
          <w:ilvl w:val="0"/>
          <w:numId w:val="4"/>
        </w:numPr>
        <w:spacing w:line="360" w:before="105" w:after="105" w:lineRule="auto"/>
      </w:pPr>
      <w:r>
        <w:rPr>
          <w:rFonts w:eastAsia="georgia" w:cs="georgia" w:ascii="georgia" w:hAnsi="georgia"/>
          <w:color w:val="000000"/>
          <w:sz w:val="21"/>
        </w:rPr>
        <w:t xml:space="preserve">Potential dampening of excessive HPA‑axis activation and improved stress adaptation in certain paradigms.[web:74][web:77]</w:t>
      </w:r>
    </w:p>
    <w:p>
      <w:pPr>
        <w:spacing w:line="360" w:after="210" w:lineRule="auto"/>
      </w:pPr>
      <w:r>
        <w:rPr>
          <w:rFonts w:eastAsia="georgia" w:cs="georgia" w:ascii="georgia" w:hAnsi="georgia"/>
          <w:color w:val="000000"/>
        </w:rPr>
        <w:t xml:space="preserve">These lines of research position DSIP as a candidate tool for dissecting neuropeptide contributions to stress resilience.</w:t>
      </w:r>
    </w:p>
    <w:p>
      <w:pPr>
        <w:spacing w:line="360" w:before="315" w:after="105" w:lineRule="auto"/>
        <w:ind w:left="-30"/>
        <w:jc w:val="left"/>
      </w:pPr>
      <w:bookmarkStart w:id="10" w:name="bm_3_pain_and_nociception_models"/>
      <w:r>
        <w:rPr>
          <w:rFonts w:eastAsia="georgia" w:cs="georgia" w:ascii="georgia" w:hAnsi="georgia"/>
          <w:b/>
          <w:color w:val="000000"/>
          <w:sz w:val="24"/>
        </w:rPr>
        <w:t xml:space="preserve">3. Pain and nociception models</w:t>
      </w:r>
      <w:bookmarkEnd w:id="10"/>
    </w:p>
    <w:p>
      <w:pPr>
        <w:spacing w:line="360" w:after="210" w:lineRule="auto"/>
      </w:pPr>
      <w:r>
        <w:rPr>
          <w:rFonts w:eastAsia="georgia" w:cs="georgia" w:ascii="georgia" w:hAnsi="georgia"/>
          <w:color w:val="000000"/>
        </w:rPr>
        <w:t xml:space="preserve">DSIP has shown analgesic‑like effects in several pain models, although results can be variable:</w:t>
      </w:r>
    </w:p>
    <w:p>
      <w:pPr>
        <w:numPr>
          <w:ilvl w:val="0"/>
          <w:numId w:val="5"/>
        </w:numPr>
        <w:spacing w:line="360" w:before="105" w:after="105" w:lineRule="auto"/>
      </w:pPr>
      <w:r>
        <w:rPr>
          <w:rFonts w:eastAsia="georgia" w:cs="georgia" w:ascii="georgia" w:hAnsi="georgia"/>
          <w:color w:val="000000"/>
          <w:sz w:val="21"/>
        </w:rPr>
        <w:t xml:space="preserve">Changes in pain thresholds and nociceptive responses in preclinical assays.</w:t>
      </w:r>
    </w:p>
    <w:p>
      <w:pPr>
        <w:numPr>
          <w:ilvl w:val="0"/>
          <w:numId w:val="5"/>
        </w:numPr>
        <w:spacing w:line="360" w:before="105" w:after="105" w:lineRule="auto"/>
      </w:pPr>
      <w:r>
        <w:rPr>
          <w:rFonts w:eastAsia="georgia" w:cs="georgia" w:ascii="georgia" w:hAnsi="georgia"/>
          <w:color w:val="000000"/>
          <w:sz w:val="21"/>
        </w:rPr>
        <w:t xml:space="preserve">Proposed involvement of central opioid systems and circadian modulation of pain perception.[web:76][web:81]</w:t>
      </w:r>
    </w:p>
    <w:p>
      <w:pPr>
        <w:spacing w:line="360" w:after="210" w:lineRule="auto"/>
      </w:pPr>
      <w:r>
        <w:rPr>
          <w:rFonts w:eastAsia="georgia" w:cs="georgia" w:ascii="georgia" w:hAnsi="georgia"/>
          <w:color w:val="000000"/>
        </w:rPr>
        <w:t xml:space="preserve">This has led to its inclusion in experimental designs focused on chronic pain and headache physiology.</w:t>
      </w:r>
    </w:p>
    <w:p>
      <w:pPr>
        <w:spacing w:line="360" w:before="315" w:after="105" w:lineRule="auto"/>
        <w:ind w:left="-30"/>
        <w:jc w:val="left"/>
      </w:pPr>
      <w:bookmarkStart w:id="11" w:name="bm_4_neuroprotection_and_oxidativ_f65cdb"/>
      <w:r>
        <w:rPr>
          <w:rFonts w:eastAsia="georgia" w:cs="georgia" w:ascii="georgia" w:hAnsi="georgia"/>
          <w:b/>
          <w:color w:val="000000"/>
          <w:sz w:val="24"/>
        </w:rPr>
        <w:t xml:space="preserve">4. Neuroprotection and oxidative stress</w:t>
      </w:r>
      <w:bookmarkEnd w:id="11"/>
    </w:p>
    <w:p>
      <w:pPr>
        <w:spacing w:line="360" w:after="210" w:lineRule="auto"/>
      </w:pPr>
      <w:r>
        <w:rPr>
          <w:rFonts w:eastAsia="georgia" w:cs="georgia" w:ascii="georgia" w:hAnsi="georgia"/>
          <w:color w:val="000000"/>
        </w:rPr>
        <w:t xml:space="preserve">Limited preclinical data suggest DSIP may:</w:t>
      </w:r>
    </w:p>
    <w:p>
      <w:pPr>
        <w:numPr>
          <w:ilvl w:val="0"/>
          <w:numId w:val="6"/>
        </w:numPr>
        <w:spacing w:line="360" w:before="105" w:after="105" w:lineRule="auto"/>
      </w:pPr>
      <w:r>
        <w:rPr>
          <w:rFonts w:eastAsia="georgia" w:cs="georgia" w:ascii="georgia" w:hAnsi="georgia"/>
          <w:color w:val="000000"/>
          <w:sz w:val="21"/>
        </w:rPr>
        <w:t xml:space="preserve">Influence markers of oxidative stress and antioxidant defenses under certain conditions.</w:t>
      </w:r>
    </w:p>
    <w:p>
      <w:pPr>
        <w:numPr>
          <w:ilvl w:val="0"/>
          <w:numId w:val="6"/>
        </w:numPr>
        <w:spacing w:line="360" w:before="105" w:after="105" w:lineRule="auto"/>
      </w:pPr>
      <w:r>
        <w:rPr>
          <w:rFonts w:eastAsia="georgia" w:cs="georgia" w:ascii="georgia" w:hAnsi="georgia"/>
          <w:color w:val="000000"/>
          <w:sz w:val="21"/>
        </w:rPr>
        <w:t xml:space="preserve">Provide modest neuroprotection in models of ischemia or neurotoxic challenge, potentially via mitochondrial and vascular effects.[web:77][web:84]</w:t>
      </w:r>
    </w:p>
    <w:p>
      <w:pPr>
        <w:spacing w:line="360" w:after="210" w:lineRule="auto"/>
      </w:pPr>
      <w:r>
        <w:rPr>
          <w:rFonts w:eastAsia="georgia" w:cs="georgia" w:ascii="georgia" w:hAnsi="georgia"/>
          <w:color w:val="000000"/>
        </w:rPr>
        <w:t xml:space="preserve">These observations motivate ongoing work in neuroprotection and metabolic stress models.</w:t>
      </w:r>
    </w:p>
    <w:p>
      <w:pPr>
        <w:spacing w:line="360" w:before="315" w:after="105" w:lineRule="auto"/>
        <w:ind w:left="-30"/>
        <w:jc w:val="left"/>
      </w:pPr>
      <w:bookmarkStart w:id="12" w:name="bm_5_endocrine_and_metabolic_signaling"/>
      <w:r>
        <w:rPr>
          <w:rFonts w:eastAsia="georgia" w:cs="georgia" w:ascii="georgia" w:hAnsi="georgia"/>
          <w:b/>
          <w:color w:val="000000"/>
          <w:sz w:val="24"/>
        </w:rPr>
        <w:t xml:space="preserve">5. Endocrine and metabolic signaling</w:t>
      </w:r>
      <w:bookmarkEnd w:id="12"/>
    </w:p>
    <w:p>
      <w:pPr>
        <w:spacing w:line="360" w:after="210" w:lineRule="auto"/>
      </w:pPr>
      <w:r>
        <w:rPr>
          <w:rFonts w:eastAsia="georgia" w:cs="georgia" w:ascii="georgia" w:hAnsi="georgia"/>
          <w:color w:val="000000"/>
        </w:rPr>
        <w:t xml:space="preserve">Because DSIP is detected in neuroendocrine tissues, research has examined its effects on:</w:t>
      </w:r>
    </w:p>
    <w:p>
      <w:pPr>
        <w:numPr>
          <w:ilvl w:val="0"/>
          <w:numId w:val="7"/>
        </w:numPr>
        <w:spacing w:line="360" w:before="105" w:after="105" w:lineRule="auto"/>
      </w:pPr>
      <w:r>
        <w:rPr>
          <w:rFonts w:eastAsia="georgia" w:cs="georgia" w:ascii="georgia" w:hAnsi="georgia"/>
          <w:color w:val="000000"/>
          <w:sz w:val="21"/>
        </w:rPr>
        <w:t xml:space="preserve">Growth‑hormone and somatotropic axis markers.</w:t>
      </w:r>
    </w:p>
    <w:p>
      <w:pPr>
        <w:numPr>
          <w:ilvl w:val="0"/>
          <w:numId w:val="7"/>
        </w:numPr>
        <w:spacing w:line="360" w:before="105" w:after="105" w:lineRule="auto"/>
      </w:pPr>
      <w:r>
        <w:rPr>
          <w:rFonts w:eastAsia="georgia" w:cs="georgia" w:ascii="georgia" w:hAnsi="georgia"/>
          <w:color w:val="000000"/>
          <w:sz w:val="21"/>
        </w:rPr>
        <w:t xml:space="preserve">Melatonin and other circadian‑related hormones.</w:t>
      </w:r>
    </w:p>
    <w:p>
      <w:pPr>
        <w:numPr>
          <w:ilvl w:val="0"/>
          <w:numId w:val="7"/>
        </w:numPr>
        <w:spacing w:line="360" w:before="105" w:after="105" w:lineRule="auto"/>
      </w:pPr>
      <w:r>
        <w:rPr>
          <w:rFonts w:eastAsia="georgia" w:cs="georgia" w:ascii="georgia" w:hAnsi="georgia"/>
          <w:color w:val="000000"/>
          <w:sz w:val="21"/>
        </w:rPr>
        <w:t xml:space="preserve">Autonomic endpoints such as blood pressure and thermoregulation in some species.[web:72][web:76]</w:t>
      </w:r>
    </w:p>
    <w:p>
      <w:pPr>
        <w:spacing w:line="360" w:after="210" w:lineRule="auto"/>
      </w:pPr>
      <w:r>
        <w:rPr>
          <w:rFonts w:eastAsia="georgia" w:cs="georgia" w:ascii="georgia" w:hAnsi="georgia"/>
          <w:color w:val="000000"/>
        </w:rPr>
        <w:t xml:space="preserve">These studies remain exploratory and are not equivalent to established therapeutic uses.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form_handling_and_storage"/>
      <w:r>
        <w:rPr>
          <w:rFonts w:eastAsia="georgia" w:cs="georgia" w:ascii="georgia" w:hAnsi="georgia"/>
          <w:b/>
          <w:color w:val="000000"/>
          <w:sz w:val="24"/>
        </w:rPr>
        <w:t xml:space="preserve">Form, handling, and storage</w:t>
      </w:r>
      <w:bookmarkEnd w:id="13"/>
    </w:p>
    <w:p>
      <w:pPr>
        <w:spacing w:line="360" w:before="315" w:after="105" w:lineRule="auto"/>
        <w:ind w:left="-30"/>
        <w:jc w:val="left"/>
      </w:pPr>
      <w:bookmarkStart w:id="14" w:name="lyophilized_peptide_storage"/>
      <w:r>
        <w:rPr>
          <w:rFonts w:eastAsia="georgia" w:cs="georgia" w:ascii="georgia" w:hAnsi="georgia"/>
          <w:b/>
          <w:color w:val="000000"/>
          <w:sz w:val="24"/>
        </w:rPr>
        <w:t xml:space="preserve">Lyophilized peptide storage</w:t>
      </w:r>
      <w:bookmarkEnd w:id="14"/>
    </w:p>
    <w:p>
      <w:pPr>
        <w:numPr>
          <w:ilvl w:val="0"/>
          <w:numId w:val="8"/>
        </w:numPr>
        <w:spacing w:line="360" w:before="105" w:after="105" w:lineRule="auto"/>
      </w:pPr>
      <w:r>
        <w:rPr>
          <w:rFonts w:eastAsia="georgia" w:cs="georgia" w:ascii="georgia" w:hAnsi="georgia"/>
          <w:color w:val="000000"/>
          <w:sz w:val="21"/>
        </w:rPr>
        <w:t xml:space="preserve">Store DSIP 5 mg vials at −20 °C to −80 °C in their original, well‑sealed containers.</w:t>
      </w:r>
    </w:p>
    <w:p>
      <w:pPr>
        <w:numPr>
          <w:ilvl w:val="0"/>
          <w:numId w:val="8"/>
        </w:numPr>
        <w:spacing w:line="360" w:before="105" w:after="105" w:lineRule="auto"/>
      </w:pPr>
      <w:r>
        <w:rPr>
          <w:rFonts w:eastAsia="georgia" w:cs="georgia" w:ascii="georgia" w:hAnsi="georgia"/>
          <w:color w:val="000000"/>
          <w:sz w:val="21"/>
        </w:rPr>
        <w:t xml:space="preserve">Protect from light and moisture; desiccated storage is recommended for long‑term stability.[web:78][web:85]</w:t>
      </w:r>
    </w:p>
    <w:p>
      <w:pPr>
        <w:spacing w:line="360" w:before="315" w:after="105" w:lineRule="auto"/>
        <w:ind w:left="-30"/>
        <w:jc w:val="left"/>
      </w:pPr>
      <w:bookmarkStart w:id="15" w:name="reconstitution"/>
      <w:r>
        <w:rPr>
          <w:rFonts w:eastAsia="georgia" w:cs="georgia" w:ascii="georgia" w:hAnsi="georgia"/>
          <w:b/>
          <w:color w:val="000000"/>
          <w:sz w:val="24"/>
        </w:rPr>
        <w:t xml:space="preserve">Reconstitution</w:t>
      </w:r>
      <w:bookmarkEnd w:id="15"/>
    </w:p>
    <w:p>
      <w:pPr>
        <w:numPr>
          <w:ilvl w:val="0"/>
          <w:numId w:val="9"/>
        </w:numPr>
        <w:spacing w:line="360" w:before="105" w:after="105" w:lineRule="auto"/>
      </w:pPr>
      <w:r>
        <w:rPr>
          <w:rFonts w:eastAsia="georgia" w:cs="georgia" w:ascii="georgia" w:hAnsi="georgia"/>
          <w:color w:val="000000"/>
          <w:sz w:val="21"/>
        </w:rPr>
        <w:t xml:space="preserve">Reconstitute with sterile water, bacteriostatic water (0.9% benzyl alcohol), or an appropriate sterile buffer suited to the intended assay system.</w:t>
      </w:r>
    </w:p>
    <w:p>
      <w:pPr>
        <w:numPr>
          <w:ilvl w:val="0"/>
          <w:numId w:val="9"/>
        </w:numPr>
        <w:spacing w:line="360" w:before="105" w:after="105" w:lineRule="auto"/>
      </w:pPr>
      <w:r>
        <w:rPr>
          <w:rFonts w:eastAsia="georgia" w:cs="georgia" w:ascii="georgia" w:hAnsi="georgia"/>
          <w:color w:val="000000"/>
          <w:sz w:val="21"/>
        </w:rPr>
        <w:t xml:space="preserve">Allow vials to reach room temperature briefly, then add solvent slowly along the inner wall.</w:t>
      </w:r>
    </w:p>
    <w:p>
      <w:pPr>
        <w:numPr>
          <w:ilvl w:val="0"/>
          <w:numId w:val="9"/>
        </w:numPr>
        <w:spacing w:line="360" w:before="105" w:after="105" w:lineRule="auto"/>
      </w:pPr>
      <w:r>
        <w:rPr>
          <w:rFonts w:eastAsia="georgia" w:cs="georgia" w:ascii="georgia" w:hAnsi="georgia"/>
          <w:color w:val="000000"/>
          <w:sz w:val="21"/>
        </w:rPr>
        <w:t xml:space="preserve">Gently swirl until fully dissolved; avoid vigorous shaking that may promote foaming.</w:t>
      </w:r>
    </w:p>
    <w:p>
      <w:pPr>
        <w:numPr>
          <w:ilvl w:val="0"/>
          <w:numId w:val="9"/>
        </w:numPr>
        <w:spacing w:line="360" w:before="105" w:after="105" w:lineRule="auto"/>
      </w:pPr>
      <w:r>
        <w:rPr>
          <w:rFonts w:eastAsia="georgia" w:cs="georgia" w:ascii="georgia" w:hAnsi="georgia"/>
          <w:color w:val="000000"/>
          <w:sz w:val="21"/>
        </w:rPr>
        <w:t xml:space="preserve">Document final concentration and solvent for reproducible protocol design.</w:t>
      </w:r>
    </w:p>
    <w:p>
      <w:pPr>
        <w:spacing w:line="360" w:before="315" w:after="105" w:lineRule="auto"/>
        <w:ind w:left="-30"/>
        <w:jc w:val="left"/>
      </w:pPr>
      <w:bookmarkStart w:id="16" w:name="reconstituted_solution_storage"/>
      <w:r>
        <w:rPr>
          <w:rFonts w:eastAsia="georgia" w:cs="georgia" w:ascii="georgia" w:hAnsi="georgia"/>
          <w:b/>
          <w:color w:val="000000"/>
          <w:sz w:val="24"/>
        </w:rPr>
        <w:t xml:space="preserve">Reconstituted solution storage</w:t>
      </w:r>
      <w:bookmarkEnd w:id="16"/>
    </w:p>
    <w:p>
      <w:pPr>
        <w:numPr>
          <w:ilvl w:val="0"/>
          <w:numId w:val="10"/>
        </w:numPr>
        <w:spacing w:line="360" w:before="105" w:after="105" w:lineRule="auto"/>
      </w:pPr>
      <w:r>
        <w:rPr>
          <w:rFonts w:eastAsia="georgia" w:cs="georgia" w:ascii="georgia" w:hAnsi="georgia"/>
          <w:color w:val="000000"/>
          <w:sz w:val="21"/>
        </w:rPr>
        <w:t xml:space="preserve">For short‑term use, store reconstituted solutions at 2–8 °C and use within a limited window (for example 5–7 days), consistent with internal stability data.</w:t>
      </w:r>
    </w:p>
    <w:p>
      <w:pPr>
        <w:numPr>
          <w:ilvl w:val="0"/>
          <w:numId w:val="10"/>
        </w:numPr>
        <w:spacing w:line="360" w:before="105" w:after="105" w:lineRule="auto"/>
      </w:pPr>
      <w:r>
        <w:rPr>
          <w:rFonts w:eastAsia="georgia" w:cs="georgia" w:ascii="georgia" w:hAnsi="georgia"/>
          <w:color w:val="000000"/>
          <w:sz w:val="21"/>
        </w:rPr>
        <w:t xml:space="preserve">For longer‑term work, divide into aliquots and freeze at −20 °C or below, minimizing freeze–thaw cycles.</w:t>
      </w:r>
    </w:p>
    <w:p>
      <w:pPr>
        <w:numPr>
          <w:ilvl w:val="0"/>
          <w:numId w:val="10"/>
        </w:numPr>
        <w:spacing w:line="360" w:before="105" w:after="105" w:lineRule="auto"/>
      </w:pPr>
      <w:r>
        <w:rPr>
          <w:rFonts w:eastAsia="georgia" w:cs="georgia" w:ascii="georgia" w:hAnsi="georgia"/>
          <w:color w:val="000000"/>
          <w:sz w:val="21"/>
        </w:rPr>
        <w:t xml:space="preserve">Inspect visually before use; discard solutions showing turbidity, precipitate, or discoloration.[web:78][web:85]</w:t>
      </w:r>
    </w:p>
    <w:p>
      <w:pPr>
        <w:spacing w:line="360" w:after="210" w:lineRule="auto"/>
      </w:pPr>
      <w:r>
        <w:rPr>
          <w:rFonts w:eastAsia="georgia" w:cs="georgia" w:ascii="georgia" w:hAnsi="georgia"/>
          <w:color w:val="000000"/>
        </w:rPr>
        <w:t xml:space="preserve">Each laboratory should confirm stability under its own conditions and follow institutional handling policies.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quality_and_analytical_characterization"/>
      <w:r>
        <w:rPr>
          <w:rFonts w:eastAsia="georgia" w:cs="georgia" w:ascii="georgia" w:hAnsi="georgia"/>
          <w:b/>
          <w:color w:val="000000"/>
          <w:sz w:val="24"/>
        </w:rPr>
        <w:t xml:space="preserve">Quality and analytical characterization</w:t>
      </w:r>
      <w:bookmarkEnd w:id="17"/>
    </w:p>
    <w:p>
      <w:pPr>
        <w:spacing w:line="360" w:after="210" w:lineRule="auto"/>
      </w:pPr>
      <w:r>
        <w:rPr>
          <w:rFonts w:eastAsia="georgia" w:cs="georgia" w:ascii="georgia" w:hAnsi="georgia"/>
          <w:color w:val="000000"/>
        </w:rPr>
        <w:t xml:space="preserve">Research‑grade DSIP is typically produced using solid‑phase peptide synthesis and undergoes analytical testing prior to release.</w:t>
      </w:r>
    </w:p>
    <w:p>
      <w:pPr>
        <w:spacing w:line="360" w:after="210" w:lineRule="auto"/>
      </w:pPr>
      <w:r>
        <w:rPr>
          <w:rFonts w:eastAsia="georgia" w:cs="georgia" w:ascii="georgia" w:hAnsi="georgia"/>
          <w:color w:val="000000"/>
        </w:rPr>
        <w:t xml:space="preserve">Representative quality parameters include:</w:t>
      </w:r>
    </w:p>
    <w:p>
      <w:pPr>
        <w:numPr>
          <w:ilvl w:val="0"/>
          <w:numId w:val="11"/>
        </w:numPr>
        <w:spacing w:line="360" w:after="210" w:lineRule="auto"/>
      </w:pPr>
      <w:r>
        <w:rPr>
          <w:rFonts w:eastAsia="georgia" w:cs="georgia" w:ascii="georgia" w:hAnsi="georgia"/>
          <w:b/>
          <w:color w:val="000000"/>
          <w:sz w:val="21"/>
        </w:rPr>
        <w:t xml:space="preserve">Purity</w:t>
      </w:r>
    </w:p>
    <w:p>
      <w:pPr>
        <w:numPr>
          <w:ilvl w:val="1"/>
          <w:numId w:val="11"/>
        </w:numPr>
        <w:spacing w:line="360" w:before="105" w:after="105" w:lineRule="auto"/>
      </w:pPr>
      <w:r>
        <w:rPr>
          <w:rFonts w:eastAsia="georgia" w:cs="georgia" w:ascii="georgia" w:hAnsi="georgia"/>
          <w:color w:val="000000"/>
          <w:sz w:val="21"/>
        </w:rPr>
        <w:t xml:space="preserve">Reversed‑phase HPLC purity ≥ 98%, with characterization of related peaks and residual synthesis by‑products.[web:78][web:82]</w:t>
      </w:r>
    </w:p>
    <w:p>
      <w:pPr>
        <w:numPr>
          <w:ilvl w:val="0"/>
          <w:numId w:val="11"/>
        </w:numPr>
        <w:spacing w:line="360" w:after="210" w:lineRule="auto"/>
      </w:pPr>
      <w:r>
        <w:rPr>
          <w:rFonts w:eastAsia="georgia" w:cs="georgia" w:ascii="georgia" w:hAnsi="georgia"/>
          <w:b/>
          <w:color w:val="000000"/>
          <w:sz w:val="21"/>
        </w:rPr>
        <w:t xml:space="preserve">Identity</w:t>
      </w:r>
    </w:p>
    <w:p>
      <w:pPr>
        <w:numPr>
          <w:ilvl w:val="1"/>
          <w:numId w:val="11"/>
        </w:numPr>
        <w:spacing w:line="360" w:before="105" w:after="105" w:lineRule="auto"/>
      </w:pPr>
      <w:r>
        <w:rPr>
          <w:rFonts w:eastAsia="georgia" w:cs="georgia" w:ascii="georgia" w:hAnsi="georgia"/>
          <w:color w:val="000000"/>
          <w:sz w:val="21"/>
        </w:rPr>
        <w:t xml:space="preserve">Mass spectrometry confirming the expected molecular weight (~848.8 g/mol).</w:t>
      </w:r>
    </w:p>
    <w:p>
      <w:pPr>
        <w:numPr>
          <w:ilvl w:val="1"/>
          <w:numId w:val="11"/>
        </w:numPr>
        <w:spacing w:line="360" w:before="105" w:after="105" w:lineRule="auto"/>
      </w:pPr>
      <w:r>
        <w:rPr>
          <w:rFonts w:eastAsia="georgia" w:cs="georgia" w:ascii="georgia" w:hAnsi="georgia"/>
          <w:color w:val="000000"/>
          <w:sz w:val="21"/>
        </w:rPr>
        <w:t xml:space="preserve">Amino‑acid analysis consistent with the Trp‑Ala‑Gly‑Gly‑Asp‑Ala‑Ser‑Gly‑Glu sequence.[web:72][web:79]</w:t>
      </w:r>
    </w:p>
    <w:p>
      <w:pPr>
        <w:numPr>
          <w:ilvl w:val="0"/>
          <w:numId w:val="11"/>
        </w:numPr>
        <w:spacing w:line="360" w:after="210" w:lineRule="auto"/>
      </w:pPr>
      <w:r>
        <w:rPr>
          <w:rFonts w:eastAsia="georgia" w:cs="georgia" w:ascii="georgia" w:hAnsi="georgia"/>
          <w:b/>
          <w:color w:val="000000"/>
          <w:sz w:val="21"/>
        </w:rPr>
        <w:t xml:space="preserve">Additional controls</w:t>
      </w:r>
    </w:p>
    <w:p>
      <w:pPr>
        <w:numPr>
          <w:ilvl w:val="1"/>
          <w:numId w:val="11"/>
        </w:numPr>
        <w:spacing w:line="360" w:before="105" w:after="105" w:lineRule="auto"/>
      </w:pPr>
      <w:r>
        <w:rPr>
          <w:rFonts w:eastAsia="georgia" w:cs="georgia" w:ascii="georgia" w:hAnsi="georgia"/>
          <w:color w:val="000000"/>
          <w:sz w:val="21"/>
        </w:rPr>
        <w:t xml:space="preserve">Microbial and endotoxin testing appropriate for research‑grade materials.</w:t>
      </w:r>
    </w:p>
    <w:p>
      <w:pPr>
        <w:numPr>
          <w:ilvl w:val="1"/>
          <w:numId w:val="11"/>
        </w:numPr>
        <w:spacing w:line="360" w:before="105" w:after="105" w:lineRule="auto"/>
      </w:pPr>
      <w:r>
        <w:rPr>
          <w:rFonts w:eastAsia="georgia" w:cs="georgia" w:ascii="georgia" w:hAnsi="georgia"/>
          <w:color w:val="000000"/>
          <w:sz w:val="21"/>
        </w:rPr>
        <w:t xml:space="preserve">Residual solvent and water‑content measurements in line with applicable guidelines.</w:t>
      </w:r>
    </w:p>
    <w:p>
      <w:pPr>
        <w:spacing w:line="360" w:after="210" w:lineRule="auto"/>
      </w:pPr>
      <w:r>
        <w:rPr>
          <w:rFonts w:eastAsia="georgia" w:cs="georgia" w:ascii="georgia" w:hAnsi="georgia"/>
          <w:color w:val="000000"/>
        </w:rPr>
        <w:t xml:space="preserve">Investigators should consult the batch‑specific Certificate of Analysis (COA) for precise specifications and results for each lot supplied.[web:78]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why_this_description_fits_a_resea_1f2988"/>
      <w:r>
        <w:rPr>
          <w:rFonts w:eastAsia="georgia" w:cs="georgia" w:ascii="georgia" w:hAnsi="georgia"/>
          <w:b/>
          <w:color w:val="000000"/>
          <w:sz w:val="24"/>
        </w:rPr>
        <w:t xml:space="preserve">Why this description fits a research‑ecommerce product page</w:t>
      </w:r>
      <w:bookmarkEnd w:id="18"/>
    </w:p>
    <w:p>
      <w:pPr>
        <w:spacing w:line="360" w:after="210" w:lineRule="auto"/>
      </w:pPr>
      <w:r>
        <w:rPr>
          <w:rFonts w:eastAsia="georgia" w:cs="georgia" w:ascii="georgia" w:hAnsi="georgia"/>
          <w:color w:val="000000"/>
        </w:rPr>
        <w:t xml:space="preserve">For a research‑focused catalog, users need clear peptide specifications, scientific context, and explicit research‑only positioning.</w:t>
      </w:r>
    </w:p>
    <w:p>
      <w:pPr>
        <w:spacing w:line="360" w:after="210" w:lineRule="auto"/>
      </w:pPr>
      <w:r>
        <w:rPr>
          <w:rFonts w:eastAsia="georgia" w:cs="georgia" w:ascii="georgia" w:hAnsi="georgia"/>
          <w:color w:val="000000"/>
        </w:rPr>
        <w:t xml:space="preserve">This description:</w:t>
      </w:r>
    </w:p>
    <w:p>
      <w:pPr>
        <w:numPr>
          <w:ilvl w:val="0"/>
          <w:numId w:val="12"/>
        </w:numPr>
        <w:spacing w:line="360" w:before="105" w:after="105" w:lineRule="auto"/>
      </w:pPr>
      <w:r>
        <w:rPr>
          <w:rFonts w:eastAsia="georgia" w:cs="georgia" w:ascii="georgia" w:hAnsi="georgia"/>
          <w:color w:val="000000"/>
          <w:sz w:val="21"/>
        </w:rPr>
        <w:t xml:space="preserve">Summarizes DSIP’s sequence, identity, and key physical parameters in a compact snapshot.[web:72][web:79]</w:t>
      </w:r>
    </w:p>
    <w:p>
      <w:pPr>
        <w:numPr>
          <w:ilvl w:val="0"/>
          <w:numId w:val="12"/>
        </w:numPr>
        <w:spacing w:line="360" w:before="105" w:after="105" w:lineRule="auto"/>
      </w:pPr>
      <w:r>
        <w:rPr>
          <w:rFonts w:eastAsia="georgia" w:cs="georgia" w:ascii="georgia" w:hAnsi="georgia"/>
          <w:color w:val="000000"/>
          <w:sz w:val="21"/>
        </w:rPr>
        <w:t xml:space="preserve">Explains its main research domains—sleep architecture, HPA‑axis regulation, pain, neuroprotection, and endocrine signaling—while avoiding therapeutic claims.[web:72][web:74][web:76]</w:t>
      </w:r>
    </w:p>
    <w:p>
      <w:pPr>
        <w:numPr>
          <w:ilvl w:val="0"/>
          <w:numId w:val="12"/>
        </w:numPr>
        <w:spacing w:line="360" w:before="105" w:after="105" w:lineRule="auto"/>
      </w:pPr>
      <w:r>
        <w:rPr>
          <w:rFonts w:eastAsia="georgia" w:cs="georgia" w:ascii="georgia" w:hAnsi="georgia"/>
          <w:color w:val="000000"/>
          <w:sz w:val="21"/>
        </w:rPr>
        <w:t xml:space="preserve">Provides practical guidance on handling, storage, and quality checks that laboratories expect when evaluating research‑grade neuropeptides.</w:t>
      </w:r>
    </w:p>
    <w:p>
      <w:pPr>
        <w:spacing w:line="360" w:after="210" w:lineRule="auto"/>
      </w:pPr>
      <w:r>
        <w:rPr>
          <w:rFonts w:eastAsia="georgia" w:cs="georgia" w:ascii="georgia" w:hAnsi="georgia"/>
          <w:color w:val="000000"/>
        </w:rPr>
        <w:t xml:space="preserve">You can use this text directly, shorten it for on‑page copy, or split it into catalogue content and downloadable technical notes.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research_use_only_and_safety_notice"/>
      <w:r>
        <w:rPr>
          <w:rFonts w:eastAsia="georgia" w:cs="georgia" w:ascii="georgia" w:hAnsi="georgia"/>
          <w:b/>
          <w:color w:val="000000"/>
          <w:sz w:val="24"/>
        </w:rPr>
        <w:t xml:space="preserve">Research‑use‑only and safety notice</w:t>
      </w:r>
      <w:bookmarkEnd w:id="19"/>
    </w:p>
    <w:p>
      <w:pPr>
        <w:spacing w:line="360" w:after="210" w:lineRule="auto"/>
        <w:ind w:left="630"/>
      </w:pPr>
      <w:r>
        <w:rPr>
          <w:rFonts w:eastAsia="georgia" w:cs="georgia" w:ascii="georgia" w:hAnsi="georgia"/>
          <w:b/>
          <w:color w:val="000000"/>
        </w:rPr>
        <w:t xml:space="preserve">FOR LABORATORY RESEARCH USE ONLY – NOT FOR HUMAN OR VETERINARY USE</w:t>
      </w:r>
      <w:r>
        <w:rPr>
          <w:rFonts w:eastAsia="georgia" w:cs="georgia" w:ascii="georgia" w:hAnsi="georgia"/>
          <w:color w:val="000000"/>
        </w:rPr>
        <w:br w:type="textWrapping"/>
      </w:r>
      <w:r>
        <w:rPr>
          <w:rFonts w:eastAsia="georgia" w:cs="georgia" w:ascii="georgia" w:hAnsi="georgia"/>
          <w:color w:val="000000"/>
        </w:rPr>
        <w:t xml:space="preserve">DSIP (Delta Sleep-Inducing Peptide) 5 mg is supplied solely as a research peptide for in‑vitro and preclinical laboratory applications. It is not a drug, sleep aid, or therapeutic product and has not been approved by the FDA, EMA, or other regulatory authorities for clinical use.[web:72][web:78]</w:t>
      </w:r>
    </w:p>
    <w:p>
      <w:pPr>
        <w:spacing w:line="360" w:after="210" w:lineRule="auto"/>
        <w:ind w:left="630"/>
      </w:pPr>
      <w:r>
        <w:rPr>
          <w:rFonts w:eastAsia="georgia" w:cs="georgia" w:ascii="georgia" w:hAnsi="georgia"/>
          <w:color w:val="000000"/>
        </w:rPr>
        <w:t xml:space="preserve">This material must not be used for diagnosis, treatment, mitigation, cure, or prevention of any disease and must not be administered to humans or animals outside properly approved research protocols. All handling should follow institutional safety procedures, including appropriate personal protective equipment, aseptic technique, and compliant waste disposal.[web:76][web:84]</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2026-04-28T08:52:12.223Z</dcterms:created>
  <dcterms:modified xsi:type="dcterms:W3CDTF">2026-04-28T08:52:12.223Z</dcterms:modified>
</cp:coreProperties>
</file>