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epithalon_epitalon_10_mg_syntheti_a08ed6"/>
      <w:r>
        <w:rPr>
          <w:rFonts w:eastAsia="georgia" w:cs="georgia" w:ascii="georgia" w:hAnsi="georgia"/>
          <w:b/>
          <w:color w:val="000000"/>
          <w:sz w:val="39"/>
        </w:rPr>
        <w:t xml:space="preserve">Epithalon (Epitalon) 10 mg – Synthetic Tetrapeptide Research Peptide</w:t>
      </w:r>
      <w:bookmarkEnd w:id="0"/>
    </w:p>
    <w:p>
      <w:pPr>
        <w:spacing w:line="360" w:before="315" w:after="105" w:lineRule="auto"/>
        <w:ind w:left="-30"/>
        <w:jc w:val="left"/>
      </w:pPr>
      <w:bookmarkStart w:id="1" w:name="product_overview"/>
      <w:r>
        <w:rPr>
          <w:rFonts w:eastAsia="georgia" w:cs="georgia" w:ascii="georgia" w:hAnsi="georgia"/>
          <w:b/>
          <w:color w:val="000000"/>
          <w:sz w:val="24"/>
        </w:rPr>
        <w:t xml:space="preserve">Product overview</w:t>
      </w:r>
      <w:bookmarkEnd w:id="1"/>
    </w:p>
    <w:p>
      <w:pPr>
        <w:spacing w:line="360" w:after="210" w:lineRule="auto"/>
      </w:pPr>
      <w:r>
        <w:rPr>
          <w:rFonts w:eastAsia="georgia" w:cs="georgia" w:ascii="georgia" w:hAnsi="georgia"/>
          <w:color w:val="000000"/>
        </w:rPr>
        <w:t xml:space="preserve">Epithalon (also spelled Epitalon) is a synthetic tetrapeptide with the amino acid sequence Ala‑Glu‑Asp‑Gly, developed as a research analog of a pineal gland extract known as epithalamin.[web:54][web:60] The peptide is investigated primarily for its ability to modulate telomerase activity, influence telomere length, and affect cellular aging pathways in controlled experimental systems.[web:54][web:63]</w:t>
      </w:r>
    </w:p>
    <w:p>
      <w:pPr>
        <w:spacing w:line="360" w:after="210" w:lineRule="auto"/>
      </w:pPr>
      <w:r>
        <w:rPr>
          <w:rFonts w:eastAsia="georgia" w:cs="georgia" w:ascii="georgia" w:hAnsi="georgia"/>
          <w:color w:val="000000"/>
        </w:rPr>
        <w:t xml:space="preserve">This 10 mg format provides a standardized lyophilized preparation intended exclusively for in‑vitro and preclinical research. It is not approved for therapeutic use and is not supplied for human or veterinary administration.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quick_product_snapshot"/>
      <w:r>
        <w:rPr>
          <w:rFonts w:eastAsia="georgia" w:cs="georgia" w:ascii="georgia" w:hAnsi="georgia"/>
          <w:b/>
          <w:color w:val="000000"/>
          <w:sz w:val="24"/>
        </w:rPr>
        <w:t xml:space="preserve">Quick product snapshot</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Epithalon (Epitalon) 10 mg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Peptide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Synthetic tetrapeptide (Ala‑Glu‑Asp‑Gly, AEDG)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Content per vial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 mg lyophilized peptide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Molecular formula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C₁₄H₂₂N₄O₉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Molecular weight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~390.35 g/mol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 number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307297‑39‑8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PubChem CID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219042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Appearance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White to off‑white lyophilized powder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Storage (dry)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 °C or colder, protected from light and moisture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Intended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In‑vitro and preclinical research only</w:t>
            </w:r>
          </w:p>
        </w:tc>
      </w:tr>
    </w:tbl>
    <w:p>
      <w:pPr>
        <w:spacing w:lineRule="auto"/>
      </w:pPr>
    </w:p>
    <w:p>
      <w:pPr>
        <w:spacing w:line="360" w:after="210" w:lineRule="auto"/>
      </w:pPr>
      <w:r>
        <w:rPr>
          <w:rFonts w:eastAsia="georgia" w:cs="georgia" w:ascii="georgia" w:hAnsi="georgia"/>
          <w:color w:val="000000"/>
        </w:rPr>
        <w:t xml:space="preserve">Values for molecular formula, weight, CAS, and CID reflect widely used reference entries in public chemical databases.[web:58][web:61]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identity_and_origin"/>
      <w:r>
        <w:rPr>
          <w:rFonts w:eastAsia="georgia" w:cs="georgia" w:ascii="georgia" w:hAnsi="georgia"/>
          <w:b/>
          <w:color w:val="000000"/>
          <w:sz w:val="24"/>
        </w:rPr>
        <w:t xml:space="preserve">Identity and origin</w:t>
      </w:r>
      <w:bookmarkEnd w:id="3"/>
    </w:p>
    <w:p>
      <w:pPr>
        <w:spacing w:line="360" w:after="210" w:lineRule="auto"/>
      </w:pPr>
      <w:r>
        <w:rPr>
          <w:rFonts w:eastAsia="georgia" w:cs="georgia" w:ascii="georgia" w:hAnsi="georgia"/>
          <w:color w:val="000000"/>
        </w:rPr>
        <w:t xml:space="preserve">Epithalon was developed at the St. Petersburg Institute of Bioregulation and Gerontology under Professor Vladimir Khavinson as a minimal active fragment derived from the pineal extract epithalamin.[web:54][web:60] The natural extract contains a mixture of peptides; Epithalon represents the synthetic tetrapeptide component identified as responsible for key biological activities.</w:t>
      </w:r>
    </w:p>
    <w:p>
      <w:pPr>
        <w:spacing w:line="360" w:after="210" w:lineRule="auto"/>
      </w:pPr>
      <w:r>
        <w:rPr>
          <w:rFonts w:eastAsia="georgia" w:cs="georgia" w:ascii="georgia" w:hAnsi="georgia"/>
          <w:b/>
          <w:color w:val="000000"/>
        </w:rPr>
        <w:t xml:space="preserve">Core identity features</w:t>
      </w:r>
    </w:p>
    <w:p>
      <w:pPr>
        <w:numPr>
          <w:ilvl w:val="0"/>
          <w:numId w:val="1"/>
        </w:numPr>
        <w:spacing w:line="360" w:before="105" w:after="105" w:lineRule="auto"/>
      </w:pPr>
      <w:r>
        <w:rPr>
          <w:rFonts w:eastAsia="georgia" w:cs="georgia" w:ascii="georgia" w:hAnsi="georgia"/>
          <w:color w:val="000000"/>
          <w:sz w:val="21"/>
        </w:rPr>
        <w:t xml:space="preserve">Sequence: Ala‑Glu‑Asp‑Gly (AEDG)</w:t>
      </w:r>
    </w:p>
    <w:p>
      <w:pPr>
        <w:numPr>
          <w:ilvl w:val="0"/>
          <w:numId w:val="1"/>
        </w:numPr>
        <w:spacing w:line="360" w:before="105" w:after="105" w:lineRule="auto"/>
      </w:pPr>
      <w:r>
        <w:rPr>
          <w:rFonts w:eastAsia="georgia" w:cs="georgia" w:ascii="georgia" w:hAnsi="georgia"/>
          <w:color w:val="000000"/>
          <w:sz w:val="21"/>
        </w:rPr>
        <w:t xml:space="preserve">Peptide classification: Synthetic tetrapeptide research peptide</w:t>
      </w:r>
    </w:p>
    <w:p>
      <w:pPr>
        <w:numPr>
          <w:ilvl w:val="0"/>
          <w:numId w:val="1"/>
        </w:numPr>
        <w:spacing w:line="360" w:before="105" w:after="105" w:lineRule="auto"/>
      </w:pPr>
      <w:r>
        <w:rPr>
          <w:rFonts w:eastAsia="georgia" w:cs="georgia" w:ascii="georgia" w:hAnsi="georgia"/>
          <w:color w:val="000000"/>
          <w:sz w:val="21"/>
        </w:rPr>
        <w:t xml:space="preserve">Molecular formula: C₁₄H₂₂N₄O₉</w:t>
      </w:r>
    </w:p>
    <w:p>
      <w:pPr>
        <w:numPr>
          <w:ilvl w:val="0"/>
          <w:numId w:val="1"/>
        </w:numPr>
        <w:spacing w:line="360" w:before="105" w:after="105" w:lineRule="auto"/>
      </w:pPr>
      <w:r>
        <w:rPr>
          <w:rFonts w:eastAsia="georgia" w:cs="georgia" w:ascii="georgia" w:hAnsi="georgia"/>
          <w:color w:val="000000"/>
          <w:sz w:val="21"/>
        </w:rPr>
        <w:t xml:space="preserve">Approximate molecular weight: 390.35 g/mol[web:58][web:61]</w:t>
      </w:r>
    </w:p>
    <w:p>
      <w:pPr>
        <w:spacing w:line="360" w:after="210" w:lineRule="auto"/>
      </w:pPr>
      <w:r>
        <w:rPr>
          <w:rFonts w:eastAsia="georgia" w:cs="georgia" w:ascii="georgia" w:hAnsi="georgia"/>
          <w:color w:val="000000"/>
        </w:rPr>
        <w:t xml:space="preserve">The compact four‑amino‑acid structure supports high‑purity synthesis and straightforward handling in lyophilized 10 mg vials, making Epithalon suitable for standardized experimental protocols.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cientific_background_non_clinical"/>
      <w:r>
        <w:rPr>
          <w:rFonts w:eastAsia="georgia" w:cs="georgia" w:ascii="georgia" w:hAnsi="georgia"/>
          <w:b/>
          <w:color w:val="000000"/>
          <w:sz w:val="24"/>
        </w:rPr>
        <w:t xml:space="preserve">Scientific background (non‑clinical)</w:t>
      </w:r>
      <w:bookmarkEnd w:id="4"/>
    </w:p>
    <w:p>
      <w:pPr>
        <w:spacing w:line="360" w:before="315" w:after="105" w:lineRule="auto"/>
        <w:ind w:left="-30"/>
        <w:jc w:val="left"/>
      </w:pPr>
      <w:bookmarkStart w:id="5" w:name="telomerase_and_telomere_biology"/>
      <w:r>
        <w:rPr>
          <w:rFonts w:eastAsia="georgia" w:cs="georgia" w:ascii="georgia" w:hAnsi="georgia"/>
          <w:b/>
          <w:color w:val="000000"/>
          <w:sz w:val="24"/>
        </w:rPr>
        <w:t xml:space="preserve">Telomerase and telomere biology</w:t>
      </w:r>
      <w:bookmarkEnd w:id="5"/>
    </w:p>
    <w:p>
      <w:pPr>
        <w:spacing w:line="360" w:after="210" w:lineRule="auto"/>
      </w:pPr>
      <w:r>
        <w:rPr>
          <w:rFonts w:eastAsia="georgia" w:cs="georgia" w:ascii="georgia" w:hAnsi="georgia"/>
          <w:color w:val="000000"/>
        </w:rPr>
        <w:t xml:space="preserve">Telomeres are repetitive DNA sequences at chromosome ends that shorten with each cell division; critically short telomeres are associated with cellular senescence and loss of proliferative capacity.[web:54][web:62] Telomerase, a specialized reverse transcriptase, can counteract this shortening by adding telomeric repeats.</w:t>
      </w:r>
    </w:p>
    <w:p>
      <w:pPr>
        <w:spacing w:line="360" w:after="210" w:lineRule="auto"/>
      </w:pPr>
      <w:r>
        <w:rPr>
          <w:rFonts w:eastAsia="georgia" w:cs="georgia" w:ascii="georgia" w:hAnsi="georgia"/>
          <w:color w:val="000000"/>
        </w:rPr>
        <w:t xml:space="preserve">In multiple in‑vitro studies, Epithalon has been reported to:</w:t>
      </w:r>
    </w:p>
    <w:p>
      <w:pPr>
        <w:numPr>
          <w:ilvl w:val="0"/>
          <w:numId w:val="2"/>
        </w:numPr>
        <w:spacing w:line="360" w:before="105" w:after="105" w:lineRule="auto"/>
      </w:pPr>
      <w:r>
        <w:rPr>
          <w:rFonts w:eastAsia="georgia" w:cs="georgia" w:ascii="georgia" w:hAnsi="georgia"/>
          <w:color w:val="000000"/>
          <w:sz w:val="21"/>
        </w:rPr>
        <w:t xml:space="preserve">Increase expression of telomerase reverse transcriptase (</w:t>
      </w:r>
      <w:r>
        <w:rPr>
          <w:rFonts w:eastAsia="georgia" w:cs="georgia" w:ascii="georgia" w:hAnsi="georgia"/>
          <w:i/>
          <w:color w:val="000000"/>
          <w:sz w:val="21"/>
        </w:rPr>
        <w:t xml:space="preserve">hTERT</w:t>
      </w:r>
      <w:r>
        <w:rPr>
          <w:rFonts w:eastAsia="georgia" w:cs="georgia" w:ascii="georgia" w:hAnsi="georgia"/>
          <w:color w:val="000000"/>
          <w:sz w:val="21"/>
        </w:rPr>
        <w:t xml:space="preserve">) and telomerase activity in human somatic cells.[web:54][web:63]</w:t>
      </w:r>
    </w:p>
    <w:p>
      <w:pPr>
        <w:numPr>
          <w:ilvl w:val="0"/>
          <w:numId w:val="2"/>
        </w:numPr>
        <w:spacing w:line="360" w:before="105" w:after="105" w:lineRule="auto"/>
      </w:pPr>
      <w:r>
        <w:rPr>
          <w:rFonts w:eastAsia="georgia" w:cs="georgia" w:ascii="georgia" w:hAnsi="georgia"/>
          <w:color w:val="000000"/>
          <w:sz w:val="21"/>
        </w:rPr>
        <w:t xml:space="preserve">Promote telomere elongation, with treated cell cultures showing longer telomeres and extended replicative potential compared with controls.[web:54][web:63][web:68]</w:t>
      </w:r>
    </w:p>
    <w:p>
      <w:pPr>
        <w:spacing w:line="360" w:after="210" w:lineRule="auto"/>
      </w:pPr>
      <w:r>
        <w:rPr>
          <w:rFonts w:eastAsia="georgia" w:cs="georgia" w:ascii="georgia" w:hAnsi="georgia"/>
          <w:color w:val="000000"/>
        </w:rPr>
        <w:t xml:space="preserve">These findings have made Epithalon a widely used research tool in telomere biology and cellular aging studies.</w:t>
      </w:r>
    </w:p>
    <w:p>
      <w:pPr>
        <w:spacing w:line="360" w:before="315" w:after="105" w:lineRule="auto"/>
        <w:ind w:left="-30"/>
        <w:jc w:val="left"/>
      </w:pPr>
      <w:bookmarkStart w:id="6" w:name="pineal_gland_and_neuroendocrine_context"/>
      <w:r>
        <w:rPr>
          <w:rFonts w:eastAsia="georgia" w:cs="georgia" w:ascii="georgia" w:hAnsi="georgia"/>
          <w:b/>
          <w:color w:val="000000"/>
          <w:sz w:val="24"/>
        </w:rPr>
        <w:t xml:space="preserve">Pineal‑gland and neuroendocrine context</w:t>
      </w:r>
      <w:bookmarkEnd w:id="6"/>
    </w:p>
    <w:p>
      <w:pPr>
        <w:spacing w:line="360" w:after="210" w:lineRule="auto"/>
      </w:pPr>
      <w:r>
        <w:rPr>
          <w:rFonts w:eastAsia="georgia" w:cs="georgia" w:ascii="georgia" w:hAnsi="georgia"/>
          <w:color w:val="000000"/>
        </w:rPr>
        <w:t xml:space="preserve">Because Epithalon was derived from a pineal extract, research also examines its effects on pineal gland function and related endocrine pathways:[web:59][web:66]</w:t>
      </w:r>
    </w:p>
    <w:p>
      <w:pPr>
        <w:numPr>
          <w:ilvl w:val="0"/>
          <w:numId w:val="3"/>
        </w:numPr>
        <w:spacing w:line="360" w:before="105" w:after="105" w:lineRule="auto"/>
      </w:pPr>
      <w:r>
        <w:rPr>
          <w:rFonts w:eastAsia="georgia" w:cs="georgia" w:ascii="georgia" w:hAnsi="georgia"/>
          <w:color w:val="000000"/>
          <w:sz w:val="21"/>
        </w:rPr>
        <w:t xml:space="preserve">Modulation of melatonin secretion patterns in aging models.</w:t>
      </w:r>
    </w:p>
    <w:p>
      <w:pPr>
        <w:numPr>
          <w:ilvl w:val="0"/>
          <w:numId w:val="3"/>
        </w:numPr>
        <w:spacing w:line="360" w:before="105" w:after="105" w:lineRule="auto"/>
      </w:pPr>
      <w:r>
        <w:rPr>
          <w:rFonts w:eastAsia="georgia" w:cs="georgia" w:ascii="georgia" w:hAnsi="georgia"/>
          <w:color w:val="000000"/>
          <w:sz w:val="21"/>
        </w:rPr>
        <w:t xml:space="preserve">Interactions with circadian rhythm regulation and neuroendocrine markers.</w:t>
      </w:r>
    </w:p>
    <w:p>
      <w:pPr>
        <w:spacing w:line="360" w:after="210" w:lineRule="auto"/>
      </w:pPr>
      <w:r>
        <w:rPr>
          <w:rFonts w:eastAsia="georgia" w:cs="georgia" w:ascii="georgia" w:hAnsi="georgia"/>
          <w:color w:val="000000"/>
        </w:rPr>
        <w:t xml:space="preserve">This dual focus—telomere biology and pineal‑related signaling—underpins its use in gerontology and bioregulation research.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key_research_themes"/>
      <w:r>
        <w:rPr>
          <w:rFonts w:eastAsia="georgia" w:cs="georgia" w:ascii="georgia" w:hAnsi="georgia"/>
          <w:b/>
          <w:color w:val="000000"/>
          <w:sz w:val="24"/>
        </w:rPr>
        <w:t xml:space="preserve">Key research themes</w:t>
      </w:r>
      <w:bookmarkEnd w:id="7"/>
    </w:p>
    <w:p>
      <w:pPr>
        <w:spacing w:line="360" w:before="315" w:after="105" w:lineRule="auto"/>
        <w:ind w:left="-30"/>
        <w:jc w:val="left"/>
      </w:pPr>
      <w:bookmarkStart w:id="8" w:name="bm_1_cellular_aging_telomerase_an_fe6c61"/>
      <w:r>
        <w:rPr>
          <w:rFonts w:eastAsia="georgia" w:cs="georgia" w:ascii="georgia" w:hAnsi="georgia"/>
          <w:b/>
          <w:color w:val="000000"/>
          <w:sz w:val="24"/>
        </w:rPr>
        <w:t xml:space="preserve">1. Cellular aging, telomerase, and telomeres</w:t>
      </w:r>
      <w:bookmarkEnd w:id="8"/>
    </w:p>
    <w:p>
      <w:pPr>
        <w:spacing w:line="360" w:after="210" w:lineRule="auto"/>
      </w:pPr>
      <w:r>
        <w:rPr>
          <w:rFonts w:eastAsia="georgia" w:cs="georgia" w:ascii="georgia" w:hAnsi="georgia"/>
          <w:color w:val="000000"/>
        </w:rPr>
        <w:t xml:space="preserve">Epithalon is extensively used to study mechanisms of cellular aging:</w:t>
      </w:r>
    </w:p>
    <w:p>
      <w:pPr>
        <w:numPr>
          <w:ilvl w:val="0"/>
          <w:numId w:val="4"/>
        </w:numPr>
        <w:spacing w:line="360" w:before="105" w:after="105" w:lineRule="auto"/>
      </w:pPr>
      <w:r>
        <w:rPr>
          <w:rFonts w:eastAsia="georgia" w:cs="georgia" w:ascii="georgia" w:hAnsi="georgia"/>
          <w:color w:val="000000"/>
          <w:sz w:val="21"/>
        </w:rPr>
        <w:t xml:space="preserve">Telomerase activation and </w:t>
      </w:r>
      <w:r>
        <w:rPr>
          <w:rFonts w:eastAsia="georgia" w:cs="georgia" w:ascii="georgia" w:hAnsi="georgia"/>
          <w:i/>
          <w:color w:val="000000"/>
          <w:sz w:val="21"/>
        </w:rPr>
        <w:t xml:space="preserve">hTERT</w:t>
      </w:r>
      <w:r>
        <w:rPr>
          <w:rFonts w:eastAsia="georgia" w:cs="georgia" w:ascii="georgia" w:hAnsi="georgia"/>
          <w:color w:val="000000"/>
          <w:sz w:val="21"/>
        </w:rPr>
        <w:t xml:space="preserve"> up‑regulation in fibroblasts and epithelial cell lines.[web:54][web:63]</w:t>
      </w:r>
    </w:p>
    <w:p>
      <w:pPr>
        <w:numPr>
          <w:ilvl w:val="0"/>
          <w:numId w:val="4"/>
        </w:numPr>
        <w:spacing w:line="360" w:before="105" w:after="105" w:lineRule="auto"/>
      </w:pPr>
      <w:r>
        <w:rPr>
          <w:rFonts w:eastAsia="georgia" w:cs="georgia" w:ascii="georgia" w:hAnsi="georgia"/>
          <w:color w:val="000000"/>
          <w:sz w:val="21"/>
        </w:rPr>
        <w:t xml:space="preserve">Telomere length changes measured by techniques such as TRF analysis, qPCR, and FISH.[web:63][web:68]</w:t>
      </w:r>
    </w:p>
    <w:p>
      <w:pPr>
        <w:numPr>
          <w:ilvl w:val="0"/>
          <w:numId w:val="4"/>
        </w:numPr>
        <w:spacing w:line="360" w:before="105" w:after="105" w:lineRule="auto"/>
      </w:pPr>
      <w:r>
        <w:rPr>
          <w:rFonts w:eastAsia="georgia" w:cs="georgia" w:ascii="georgia" w:hAnsi="georgia"/>
          <w:color w:val="000000"/>
          <w:sz w:val="21"/>
        </w:rPr>
        <w:t xml:space="preserve">Effects on cellular senescence markers and the ability of cells to surpass typical division limits in culture.</w:t>
      </w:r>
    </w:p>
    <w:p>
      <w:pPr>
        <w:spacing w:line="360" w:after="210" w:lineRule="auto"/>
      </w:pPr>
      <w:r>
        <w:rPr>
          <w:rFonts w:eastAsia="georgia" w:cs="georgia" w:ascii="georgia" w:hAnsi="georgia"/>
          <w:color w:val="000000"/>
        </w:rPr>
        <w:t xml:space="preserve">These experiments support broader investigations into how telomere dynamics relate to age‑associated decline and genomic stability.</w:t>
      </w:r>
    </w:p>
    <w:p>
      <w:pPr>
        <w:spacing w:line="360" w:before="315" w:after="105" w:lineRule="auto"/>
        <w:ind w:left="-30"/>
        <w:jc w:val="left"/>
      </w:pPr>
      <w:bookmarkStart w:id="9" w:name="bm_2_longevity_and_gerontology_models"/>
      <w:r>
        <w:rPr>
          <w:rFonts w:eastAsia="georgia" w:cs="georgia" w:ascii="georgia" w:hAnsi="georgia"/>
          <w:b/>
          <w:color w:val="000000"/>
          <w:sz w:val="24"/>
        </w:rPr>
        <w:t xml:space="preserve">2. Longevity and gerontology models</w:t>
      </w:r>
      <w:bookmarkEnd w:id="9"/>
    </w:p>
    <w:p>
      <w:pPr>
        <w:spacing w:line="360" w:after="210" w:lineRule="auto"/>
      </w:pPr>
      <w:r>
        <w:rPr>
          <w:rFonts w:eastAsia="georgia" w:cs="georgia" w:ascii="georgia" w:hAnsi="georgia"/>
          <w:color w:val="000000"/>
        </w:rPr>
        <w:t xml:space="preserve">In preclinical animal models, Epithalon and related pineal peptides have been studied for their impact on lifespan and aging markers:[web:59][web:62]</w:t>
      </w:r>
    </w:p>
    <w:p>
      <w:pPr>
        <w:numPr>
          <w:ilvl w:val="0"/>
          <w:numId w:val="5"/>
        </w:numPr>
        <w:spacing w:line="360" w:before="105" w:after="105" w:lineRule="auto"/>
      </w:pPr>
      <w:r>
        <w:rPr>
          <w:rFonts w:eastAsia="georgia" w:cs="georgia" w:ascii="georgia" w:hAnsi="georgia"/>
          <w:color w:val="000000"/>
          <w:sz w:val="21"/>
        </w:rPr>
        <w:t xml:space="preserve">Changes in survival curves and maximum lifespan in certain rodent models.</w:t>
      </w:r>
    </w:p>
    <w:p>
      <w:pPr>
        <w:numPr>
          <w:ilvl w:val="0"/>
          <w:numId w:val="5"/>
        </w:numPr>
        <w:spacing w:line="360" w:before="105" w:after="105" w:lineRule="auto"/>
      </w:pPr>
      <w:r>
        <w:rPr>
          <w:rFonts w:eastAsia="georgia" w:cs="georgia" w:ascii="georgia" w:hAnsi="georgia"/>
          <w:color w:val="000000"/>
          <w:sz w:val="21"/>
        </w:rPr>
        <w:t xml:space="preserve">Modulation of age‑related physiological parameters and biomarkers.</w:t>
      </w:r>
    </w:p>
    <w:p>
      <w:pPr>
        <w:spacing w:line="360" w:after="210" w:lineRule="auto"/>
      </w:pPr>
      <w:r>
        <w:rPr>
          <w:rFonts w:eastAsia="georgia" w:cs="georgia" w:ascii="georgia" w:hAnsi="georgia"/>
          <w:color w:val="000000"/>
        </w:rPr>
        <w:t xml:space="preserve">These findings are used for hypothesis‑generation and mechanistic research rather than as clinical evidence.</w:t>
      </w:r>
    </w:p>
    <w:p>
      <w:pPr>
        <w:spacing w:line="360" w:before="315" w:after="105" w:lineRule="auto"/>
        <w:ind w:left="-30"/>
        <w:jc w:val="left"/>
      </w:pPr>
      <w:bookmarkStart w:id="10" w:name="bm_3_oxidative_stress_and_mitocho_179967"/>
      <w:r>
        <w:rPr>
          <w:rFonts w:eastAsia="georgia" w:cs="georgia" w:ascii="georgia" w:hAnsi="georgia"/>
          <w:b/>
          <w:color w:val="000000"/>
          <w:sz w:val="24"/>
        </w:rPr>
        <w:t xml:space="preserve">3. Oxidative stress and mitochondrial function</w:t>
      </w:r>
      <w:bookmarkEnd w:id="10"/>
    </w:p>
    <w:p>
      <w:pPr>
        <w:spacing w:line="360" w:after="210" w:lineRule="auto"/>
      </w:pPr>
      <w:r>
        <w:rPr>
          <w:rFonts w:eastAsia="georgia" w:cs="georgia" w:ascii="georgia" w:hAnsi="georgia"/>
          <w:color w:val="000000"/>
        </w:rPr>
        <w:t xml:space="preserve">Oxidative stress—an imbalance between reactive oxygen species (ROS) and antioxidant defenses—contributes to cellular damage during aging.</w:t>
      </w:r>
    </w:p>
    <w:p>
      <w:pPr>
        <w:spacing w:line="360" w:after="210" w:lineRule="auto"/>
      </w:pPr>
      <w:r>
        <w:rPr>
          <w:rFonts w:eastAsia="georgia" w:cs="georgia" w:ascii="georgia" w:hAnsi="georgia"/>
          <w:color w:val="000000"/>
        </w:rPr>
        <w:t xml:space="preserve">Epithalon research has explored:</w:t>
      </w:r>
    </w:p>
    <w:p>
      <w:pPr>
        <w:numPr>
          <w:ilvl w:val="0"/>
          <w:numId w:val="6"/>
        </w:numPr>
        <w:spacing w:line="360" w:before="105" w:after="105" w:lineRule="auto"/>
      </w:pPr>
      <w:r>
        <w:rPr>
          <w:rFonts w:eastAsia="georgia" w:cs="georgia" w:ascii="georgia" w:hAnsi="georgia"/>
          <w:color w:val="000000"/>
          <w:sz w:val="21"/>
        </w:rPr>
        <w:t xml:space="preserve">Effects on antioxidant enzyme systems and ROS levels.</w:t>
      </w:r>
    </w:p>
    <w:p>
      <w:pPr>
        <w:numPr>
          <w:ilvl w:val="0"/>
          <w:numId w:val="6"/>
        </w:numPr>
        <w:spacing w:line="360" w:before="105" w:after="105" w:lineRule="auto"/>
      </w:pPr>
      <w:r>
        <w:rPr>
          <w:rFonts w:eastAsia="georgia" w:cs="georgia" w:ascii="georgia" w:hAnsi="georgia"/>
          <w:color w:val="000000"/>
          <w:sz w:val="21"/>
        </w:rPr>
        <w:t xml:space="preserve">Mitochondrial function, membrane integrity, and susceptibility to oxidative damage in aging cells.[web:59][web:65]</w:t>
      </w:r>
    </w:p>
    <w:p>
      <w:pPr>
        <w:spacing w:line="360" w:after="210" w:lineRule="auto"/>
      </w:pPr>
      <w:r>
        <w:rPr>
          <w:rFonts w:eastAsia="georgia" w:cs="georgia" w:ascii="georgia" w:hAnsi="georgia"/>
          <w:color w:val="000000"/>
        </w:rPr>
        <w:t xml:space="preserve">These lines of investigation link telomere biology to broader cellular resilience mechanisms.</w:t>
      </w:r>
    </w:p>
    <w:p>
      <w:pPr>
        <w:spacing w:line="360" w:before="315" w:after="105" w:lineRule="auto"/>
        <w:ind w:left="-30"/>
        <w:jc w:val="left"/>
      </w:pPr>
      <w:bookmarkStart w:id="11" w:name="bm_4_gene_expression_and_epigenet_72e28c"/>
      <w:r>
        <w:rPr>
          <w:rFonts w:eastAsia="georgia" w:cs="georgia" w:ascii="georgia" w:hAnsi="georgia"/>
          <w:b/>
          <w:color w:val="000000"/>
          <w:sz w:val="24"/>
        </w:rPr>
        <w:t xml:space="preserve">4. Gene expression and epigenetic modulation</w:t>
      </w:r>
      <w:bookmarkEnd w:id="11"/>
    </w:p>
    <w:p>
      <w:pPr>
        <w:spacing w:line="360" w:after="210" w:lineRule="auto"/>
      </w:pPr>
      <w:r>
        <w:rPr>
          <w:rFonts w:eastAsia="georgia" w:cs="georgia" w:ascii="georgia" w:hAnsi="georgia"/>
          <w:color w:val="000000"/>
        </w:rPr>
        <w:t xml:space="preserve">Studies suggest that Epithalon may influence patterns of gene expression without altering underlying DNA sequences:[web:60][web:64]</w:t>
      </w:r>
    </w:p>
    <w:p>
      <w:pPr>
        <w:numPr>
          <w:ilvl w:val="0"/>
          <w:numId w:val="7"/>
        </w:numPr>
        <w:spacing w:line="360" w:before="105" w:after="105" w:lineRule="auto"/>
      </w:pPr>
      <w:r>
        <w:rPr>
          <w:rFonts w:eastAsia="georgia" w:cs="georgia" w:ascii="georgia" w:hAnsi="georgia"/>
          <w:color w:val="000000"/>
          <w:sz w:val="21"/>
        </w:rPr>
        <w:t xml:space="preserve">Modulation of genes associated with cellular stress response, repair, and immune signaling.</w:t>
      </w:r>
    </w:p>
    <w:p>
      <w:pPr>
        <w:numPr>
          <w:ilvl w:val="0"/>
          <w:numId w:val="7"/>
        </w:numPr>
        <w:spacing w:line="360" w:before="105" w:after="105" w:lineRule="auto"/>
      </w:pPr>
      <w:r>
        <w:rPr>
          <w:rFonts w:eastAsia="georgia" w:cs="georgia" w:ascii="georgia" w:hAnsi="georgia"/>
          <w:color w:val="000000"/>
          <w:sz w:val="21"/>
        </w:rPr>
        <w:t xml:space="preserve">Potential effects on chromatin organization and DNA‑methylation patterns, with implications for age‑related gene‑expression drift.</w:t>
      </w:r>
    </w:p>
    <w:p>
      <w:pPr>
        <w:spacing w:line="360" w:after="210" w:lineRule="auto"/>
      </w:pPr>
      <w:r>
        <w:rPr>
          <w:rFonts w:eastAsia="georgia" w:cs="georgia" w:ascii="georgia" w:hAnsi="georgia"/>
          <w:color w:val="000000"/>
        </w:rPr>
        <w:t xml:space="preserve">These observations motivate epigenetic and transcriptomic studies in relevant models.</w:t>
      </w:r>
    </w:p>
    <w:p>
      <w:pPr>
        <w:spacing w:line="360" w:before="315" w:after="105" w:lineRule="auto"/>
        <w:ind w:left="-30"/>
        <w:jc w:val="left"/>
      </w:pPr>
      <w:bookmarkStart w:id="12" w:name="bm_5_neuroendocrine_and_circadian_e97cef"/>
      <w:r>
        <w:rPr>
          <w:rFonts w:eastAsia="georgia" w:cs="georgia" w:ascii="georgia" w:hAnsi="georgia"/>
          <w:b/>
          <w:color w:val="000000"/>
          <w:sz w:val="24"/>
        </w:rPr>
        <w:t xml:space="preserve">5. Neuroendocrine and circadian rhythm research</w:t>
      </w:r>
      <w:bookmarkEnd w:id="12"/>
    </w:p>
    <w:p>
      <w:pPr>
        <w:spacing w:line="360" w:after="210" w:lineRule="auto"/>
      </w:pPr>
      <w:r>
        <w:rPr>
          <w:rFonts w:eastAsia="georgia" w:cs="georgia" w:ascii="georgia" w:hAnsi="georgia"/>
          <w:color w:val="000000"/>
        </w:rPr>
        <w:t xml:space="preserve">Given its pineal origin, Epithalon is also used to explore neuroendocrine endpoints:</w:t>
      </w:r>
    </w:p>
    <w:p>
      <w:pPr>
        <w:numPr>
          <w:ilvl w:val="0"/>
          <w:numId w:val="8"/>
        </w:numPr>
        <w:spacing w:line="360" w:before="105" w:after="105" w:lineRule="auto"/>
      </w:pPr>
      <w:r>
        <w:rPr>
          <w:rFonts w:eastAsia="georgia" w:cs="georgia" w:ascii="georgia" w:hAnsi="georgia"/>
          <w:color w:val="000000"/>
          <w:sz w:val="21"/>
        </w:rPr>
        <w:t xml:space="preserve">Melatonin production and circadian rhythm parameters in aging animals.</w:t>
      </w:r>
    </w:p>
    <w:p>
      <w:pPr>
        <w:numPr>
          <w:ilvl w:val="0"/>
          <w:numId w:val="8"/>
        </w:numPr>
        <w:spacing w:line="360" w:before="105" w:after="105" w:lineRule="auto"/>
      </w:pPr>
      <w:r>
        <w:rPr>
          <w:rFonts w:eastAsia="georgia" w:cs="georgia" w:ascii="georgia" w:hAnsi="georgia"/>
          <w:color w:val="000000"/>
          <w:sz w:val="21"/>
        </w:rPr>
        <w:t xml:space="preserve">Interactions with hypothalamic–pituitary–pineal axes and sleep‑related markers.[web:59][web:66]</w:t>
      </w:r>
    </w:p>
    <w:p>
      <w:pPr>
        <w:spacing w:line="360" w:after="210" w:lineRule="auto"/>
      </w:pPr>
      <w:r>
        <w:rPr>
          <w:rFonts w:eastAsia="georgia" w:cs="georgia" w:ascii="georgia" w:hAnsi="georgia"/>
          <w:color w:val="000000"/>
        </w:rPr>
        <w:t xml:space="preserve">These experiments help clarify connections between circadian physiology, hormone regulation, and aging phenotypes.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form_handling_and_storage"/>
      <w:r>
        <w:rPr>
          <w:rFonts w:eastAsia="georgia" w:cs="georgia" w:ascii="georgia" w:hAnsi="georgia"/>
          <w:b/>
          <w:color w:val="000000"/>
          <w:sz w:val="24"/>
        </w:rPr>
        <w:t xml:space="preserve">Form, handling, and storage</w:t>
      </w:r>
      <w:bookmarkEnd w:id="13"/>
    </w:p>
    <w:p>
      <w:pPr>
        <w:spacing w:line="360" w:before="315" w:after="105" w:lineRule="auto"/>
        <w:ind w:left="-30"/>
        <w:jc w:val="left"/>
      </w:pPr>
      <w:bookmarkStart w:id="14" w:name="lyophilized_peptide_storage"/>
      <w:r>
        <w:rPr>
          <w:rFonts w:eastAsia="georgia" w:cs="georgia" w:ascii="georgia" w:hAnsi="georgia"/>
          <w:b/>
          <w:color w:val="000000"/>
          <w:sz w:val="24"/>
        </w:rPr>
        <w:t xml:space="preserve">Lyophilized peptide storage</w:t>
      </w:r>
      <w:bookmarkEnd w:id="14"/>
    </w:p>
    <w:p>
      <w:pPr>
        <w:numPr>
          <w:ilvl w:val="0"/>
          <w:numId w:val="9"/>
        </w:numPr>
        <w:spacing w:line="360" w:before="105" w:after="105" w:lineRule="auto"/>
      </w:pPr>
      <w:r>
        <w:rPr>
          <w:rFonts w:eastAsia="georgia" w:cs="georgia" w:ascii="georgia" w:hAnsi="georgia"/>
          <w:color w:val="000000"/>
          <w:sz w:val="21"/>
        </w:rPr>
        <w:t xml:space="preserve">Store Epithalon 10 mg vials at −20 °C or below in a dry, dark environment.</w:t>
      </w:r>
    </w:p>
    <w:p>
      <w:pPr>
        <w:numPr>
          <w:ilvl w:val="0"/>
          <w:numId w:val="9"/>
        </w:numPr>
        <w:spacing w:line="360" w:before="105" w:after="105" w:lineRule="auto"/>
      </w:pPr>
      <w:r>
        <w:rPr>
          <w:rFonts w:eastAsia="georgia" w:cs="georgia" w:ascii="georgia" w:hAnsi="georgia"/>
          <w:color w:val="000000"/>
          <w:sz w:val="21"/>
        </w:rPr>
        <w:t xml:space="preserve">Protect from moisture and repeated temperature cycling between freezer and room temperature.[web:60]</w:t>
      </w:r>
    </w:p>
    <w:p>
      <w:pPr>
        <w:spacing w:line="360" w:before="315" w:after="105" w:lineRule="auto"/>
        <w:ind w:left="-30"/>
        <w:jc w:val="left"/>
      </w:pPr>
      <w:bookmarkStart w:id="15" w:name="reconstitution"/>
      <w:r>
        <w:rPr>
          <w:rFonts w:eastAsia="georgia" w:cs="georgia" w:ascii="georgia" w:hAnsi="georgia"/>
          <w:b/>
          <w:color w:val="000000"/>
          <w:sz w:val="24"/>
        </w:rPr>
        <w:t xml:space="preserve">Reconstitution</w:t>
      </w:r>
      <w:bookmarkEnd w:id="15"/>
    </w:p>
    <w:p>
      <w:pPr>
        <w:numPr>
          <w:ilvl w:val="0"/>
          <w:numId w:val="10"/>
        </w:numPr>
        <w:spacing w:line="360" w:before="105" w:after="105" w:lineRule="auto"/>
      </w:pPr>
      <w:r>
        <w:rPr>
          <w:rFonts w:eastAsia="georgia" w:cs="georgia" w:ascii="georgia" w:hAnsi="georgia"/>
          <w:color w:val="000000"/>
          <w:sz w:val="21"/>
        </w:rPr>
        <w:t xml:space="preserve">Reconstitute using sterile water, bacteriostatic water (0.9% benzyl alcohol), or an appropriate sterile buffer compatible with the intended assay system.</w:t>
      </w:r>
    </w:p>
    <w:p>
      <w:pPr>
        <w:numPr>
          <w:ilvl w:val="0"/>
          <w:numId w:val="10"/>
        </w:numPr>
        <w:spacing w:line="360" w:before="105" w:after="105" w:lineRule="auto"/>
      </w:pPr>
      <w:r>
        <w:rPr>
          <w:rFonts w:eastAsia="georgia" w:cs="georgia" w:ascii="georgia" w:hAnsi="georgia"/>
          <w:color w:val="000000"/>
          <w:sz w:val="21"/>
        </w:rPr>
        <w:t xml:space="preserve">Allow the vial to reach room temperature briefly, then add solvent slowly along the inner wall.</w:t>
      </w:r>
    </w:p>
    <w:p>
      <w:pPr>
        <w:numPr>
          <w:ilvl w:val="0"/>
          <w:numId w:val="10"/>
        </w:numPr>
        <w:spacing w:line="360" w:before="105" w:after="105" w:lineRule="auto"/>
      </w:pPr>
      <w:r>
        <w:rPr>
          <w:rFonts w:eastAsia="georgia" w:cs="georgia" w:ascii="georgia" w:hAnsi="georgia"/>
          <w:color w:val="000000"/>
          <w:sz w:val="21"/>
        </w:rPr>
        <w:t xml:space="preserve">Gently swirl or roll until the peptide is fully dissolved; avoid vigorous shaking.</w:t>
      </w:r>
    </w:p>
    <w:p>
      <w:pPr>
        <w:numPr>
          <w:ilvl w:val="0"/>
          <w:numId w:val="10"/>
        </w:numPr>
        <w:spacing w:line="360" w:before="105" w:after="105" w:lineRule="auto"/>
      </w:pPr>
      <w:r>
        <w:rPr>
          <w:rFonts w:eastAsia="georgia" w:cs="georgia" w:ascii="georgia" w:hAnsi="georgia"/>
          <w:color w:val="000000"/>
          <w:sz w:val="21"/>
        </w:rPr>
        <w:t xml:space="preserve">Prepare stock concentrations that fit the experimental design, documenting final concentration and solvent used.</w:t>
      </w:r>
    </w:p>
    <w:p>
      <w:pPr>
        <w:spacing w:line="360" w:before="315" w:after="105" w:lineRule="auto"/>
        <w:ind w:left="-30"/>
        <w:jc w:val="left"/>
      </w:pPr>
      <w:bookmarkStart w:id="16" w:name="reconstituted_solution_storage"/>
      <w:r>
        <w:rPr>
          <w:rFonts w:eastAsia="georgia" w:cs="georgia" w:ascii="georgia" w:hAnsi="georgia"/>
          <w:b/>
          <w:color w:val="000000"/>
          <w:sz w:val="24"/>
        </w:rPr>
        <w:t xml:space="preserve">Reconstituted solution storage</w:t>
      </w:r>
      <w:bookmarkEnd w:id="16"/>
    </w:p>
    <w:p>
      <w:pPr>
        <w:numPr>
          <w:ilvl w:val="0"/>
          <w:numId w:val="11"/>
        </w:numPr>
        <w:spacing w:line="360" w:before="105" w:after="105" w:lineRule="auto"/>
      </w:pPr>
      <w:r>
        <w:rPr>
          <w:rFonts w:eastAsia="georgia" w:cs="georgia" w:ascii="georgia" w:hAnsi="georgia"/>
          <w:color w:val="000000"/>
          <w:sz w:val="21"/>
        </w:rPr>
        <w:t xml:space="preserve">For short‑term use, store reconstituted solutions at 2–8 °C and use within a limited period, such as 7–30 days, depending on solvent, concentration, and internal stability data.[web:60]</w:t>
      </w:r>
    </w:p>
    <w:p>
      <w:pPr>
        <w:numPr>
          <w:ilvl w:val="0"/>
          <w:numId w:val="11"/>
        </w:numPr>
        <w:spacing w:line="360" w:before="105" w:after="105" w:lineRule="auto"/>
      </w:pPr>
      <w:r>
        <w:rPr>
          <w:rFonts w:eastAsia="georgia" w:cs="georgia" w:ascii="georgia" w:hAnsi="georgia"/>
          <w:color w:val="000000"/>
          <w:sz w:val="21"/>
        </w:rPr>
        <w:t xml:space="preserve">For longer‑term work, divide into single‑use aliquots and freeze at −20 °C or below, minimizing freeze–thaw cycles.</w:t>
      </w:r>
    </w:p>
    <w:p>
      <w:pPr>
        <w:spacing w:line="360" w:after="210" w:lineRule="auto"/>
      </w:pPr>
      <w:r>
        <w:rPr>
          <w:rFonts w:eastAsia="georgia" w:cs="georgia" w:ascii="georgia" w:hAnsi="georgia"/>
          <w:color w:val="000000"/>
        </w:rPr>
        <w:t xml:space="preserve">Each laboratory should validate stability under its own conditions and follow internal handling policies.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quality_and_analytical_characterization"/>
      <w:r>
        <w:rPr>
          <w:rFonts w:eastAsia="georgia" w:cs="georgia" w:ascii="georgia" w:hAnsi="georgia"/>
          <w:b/>
          <w:color w:val="000000"/>
          <w:sz w:val="24"/>
        </w:rPr>
        <w:t xml:space="preserve">Quality and analytical characterization</w:t>
      </w:r>
      <w:bookmarkEnd w:id="17"/>
    </w:p>
    <w:p>
      <w:pPr>
        <w:spacing w:line="360" w:after="210" w:lineRule="auto"/>
      </w:pPr>
      <w:r>
        <w:rPr>
          <w:rFonts w:eastAsia="georgia" w:cs="georgia" w:ascii="georgia" w:hAnsi="georgia"/>
          <w:color w:val="000000"/>
        </w:rPr>
        <w:t xml:space="preserve">Research‑grade Epithalon is typically produced using solid‑phase peptide synthesis followed by purification and analytical verification.</w:t>
      </w:r>
    </w:p>
    <w:p>
      <w:pPr>
        <w:spacing w:line="360" w:after="210" w:lineRule="auto"/>
      </w:pPr>
      <w:r>
        <w:rPr>
          <w:rFonts w:eastAsia="georgia" w:cs="georgia" w:ascii="georgia" w:hAnsi="georgia"/>
          <w:color w:val="000000"/>
        </w:rPr>
        <w:t xml:space="preserve">Representative quality features include:</w:t>
      </w:r>
    </w:p>
    <w:p>
      <w:pPr>
        <w:numPr>
          <w:ilvl w:val="0"/>
          <w:numId w:val="12"/>
        </w:numPr>
        <w:spacing w:line="360" w:before="105" w:after="105" w:lineRule="auto"/>
      </w:pPr>
      <w:r>
        <w:rPr>
          <w:rFonts w:eastAsia="georgia" w:cs="georgia" w:ascii="georgia" w:hAnsi="georgia"/>
          <w:b/>
          <w:color w:val="000000"/>
          <w:sz w:val="21"/>
        </w:rPr>
        <w:t xml:space="preserve">Purity</w:t>
      </w:r>
    </w:p>
    <w:p>
      <w:pPr>
        <w:numPr>
          <w:ilvl w:val="1"/>
          <w:numId w:val="12"/>
        </w:numPr>
        <w:spacing w:line="360" w:before="105" w:after="105" w:lineRule="auto"/>
      </w:pPr>
      <w:r>
        <w:rPr>
          <w:rFonts w:eastAsia="georgia" w:cs="georgia" w:ascii="georgia" w:hAnsi="georgia"/>
          <w:color w:val="000000"/>
          <w:sz w:val="21"/>
        </w:rPr>
        <w:t xml:space="preserve">High‑performance liquid chromatography (HPLC) confirming ≥ 98% purity, with controlled levels of related peptides and residual synthesis by‑products.[web:61]</w:t>
      </w:r>
    </w:p>
    <w:p>
      <w:pPr>
        <w:numPr>
          <w:ilvl w:val="0"/>
          <w:numId w:val="12"/>
        </w:numPr>
        <w:spacing w:line="360" w:before="105" w:after="105" w:lineRule="auto"/>
      </w:pPr>
      <w:r>
        <w:rPr>
          <w:rFonts w:eastAsia="georgia" w:cs="georgia" w:ascii="georgia" w:hAnsi="georgia"/>
          <w:b/>
          <w:color w:val="000000"/>
          <w:sz w:val="21"/>
        </w:rPr>
        <w:t xml:space="preserve">Identity</w:t>
      </w:r>
    </w:p>
    <w:p>
      <w:pPr>
        <w:numPr>
          <w:ilvl w:val="1"/>
          <w:numId w:val="12"/>
        </w:numPr>
        <w:spacing w:line="360" w:before="105" w:after="105" w:lineRule="auto"/>
      </w:pPr>
      <w:r>
        <w:rPr>
          <w:rFonts w:eastAsia="georgia" w:cs="georgia" w:ascii="georgia" w:hAnsi="georgia"/>
          <w:color w:val="000000"/>
          <w:sz w:val="21"/>
        </w:rPr>
        <w:t xml:space="preserve">Mass spectrometry verifying the expected molecular weight (~390.35 g/mol).</w:t>
      </w:r>
    </w:p>
    <w:p>
      <w:pPr>
        <w:numPr>
          <w:ilvl w:val="1"/>
          <w:numId w:val="12"/>
        </w:numPr>
        <w:spacing w:line="360" w:before="105" w:after="105" w:lineRule="auto"/>
      </w:pPr>
      <w:r>
        <w:rPr>
          <w:rFonts w:eastAsia="georgia" w:cs="georgia" w:ascii="georgia" w:hAnsi="georgia"/>
          <w:color w:val="000000"/>
          <w:sz w:val="21"/>
        </w:rPr>
        <w:t xml:space="preserve">Amino‑acid composition consistent with the Ala‑Glu‑Asp‑Gly sequence.[web:58][web:61]</w:t>
      </w:r>
    </w:p>
    <w:p>
      <w:pPr>
        <w:numPr>
          <w:ilvl w:val="0"/>
          <w:numId w:val="12"/>
        </w:numPr>
        <w:spacing w:line="360" w:before="105" w:after="105" w:lineRule="auto"/>
      </w:pPr>
      <w:r>
        <w:rPr>
          <w:rFonts w:eastAsia="georgia" w:cs="georgia" w:ascii="georgia" w:hAnsi="georgia"/>
          <w:b/>
          <w:color w:val="000000"/>
          <w:sz w:val="21"/>
        </w:rPr>
        <w:t xml:space="preserve">Additional tests</w:t>
      </w:r>
    </w:p>
    <w:p>
      <w:pPr>
        <w:numPr>
          <w:ilvl w:val="1"/>
          <w:numId w:val="12"/>
        </w:numPr>
        <w:spacing w:line="360" w:before="105" w:after="105" w:lineRule="auto"/>
      </w:pPr>
      <w:r>
        <w:rPr>
          <w:rFonts w:eastAsia="georgia" w:cs="georgia" w:ascii="georgia" w:hAnsi="georgia"/>
          <w:color w:val="000000"/>
          <w:sz w:val="21"/>
        </w:rPr>
        <w:t xml:space="preserve">Endotoxin and microbial limits appropriate for research‑grade materials.</w:t>
      </w:r>
    </w:p>
    <w:p>
      <w:pPr>
        <w:numPr>
          <w:ilvl w:val="1"/>
          <w:numId w:val="12"/>
        </w:numPr>
        <w:spacing w:line="360" w:before="105" w:after="105" w:lineRule="auto"/>
      </w:pPr>
      <w:r>
        <w:rPr>
          <w:rFonts w:eastAsia="georgia" w:cs="georgia" w:ascii="georgia" w:hAnsi="georgia"/>
          <w:color w:val="000000"/>
          <w:sz w:val="21"/>
        </w:rPr>
        <w:t xml:space="preserve">Residual solvent and water‑content measurements in line with accepted guidelines.</w:t>
      </w:r>
    </w:p>
    <w:p>
      <w:pPr>
        <w:spacing w:line="360" w:after="210" w:lineRule="auto"/>
      </w:pPr>
      <w:r>
        <w:rPr>
          <w:rFonts w:eastAsia="georgia" w:cs="georgia" w:ascii="georgia" w:hAnsi="georgia"/>
          <w:color w:val="000000"/>
        </w:rPr>
        <w:t xml:space="preserve">Investigators should consult the batch‑specific Certificate of Analysis (COA) for exact analytical data for each lot.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why_this_description_fits_a_resea_1f2988"/>
      <w:r>
        <w:rPr>
          <w:rFonts w:eastAsia="georgia" w:cs="georgia" w:ascii="georgia" w:hAnsi="georgia"/>
          <w:b/>
          <w:color w:val="000000"/>
          <w:sz w:val="24"/>
        </w:rPr>
        <w:t xml:space="preserve">Why this description fits a research‑ecommerce product page</w:t>
      </w:r>
      <w:bookmarkEnd w:id="18"/>
    </w:p>
    <w:p>
      <w:pPr>
        <w:spacing w:line="360" w:after="210" w:lineRule="auto"/>
      </w:pPr>
      <w:r>
        <w:rPr>
          <w:rFonts w:eastAsia="georgia" w:cs="georgia" w:ascii="georgia" w:hAnsi="georgia"/>
          <w:color w:val="000000"/>
        </w:rPr>
        <w:t xml:space="preserve">For a peptide catalog aimed at laboratories, users need clear technical details, scientific context, and unambiguous research‑only positioning.</w:t>
      </w:r>
    </w:p>
    <w:p>
      <w:pPr>
        <w:spacing w:line="360" w:after="210" w:lineRule="auto"/>
      </w:pPr>
      <w:r>
        <w:rPr>
          <w:rFonts w:eastAsia="georgia" w:cs="georgia" w:ascii="georgia" w:hAnsi="georgia"/>
          <w:color w:val="000000"/>
        </w:rPr>
        <w:t xml:space="preserve">This description:</w:t>
      </w:r>
    </w:p>
    <w:p>
      <w:pPr>
        <w:numPr>
          <w:ilvl w:val="0"/>
          <w:numId w:val="13"/>
        </w:numPr>
        <w:spacing w:line="360" w:before="105" w:after="105" w:lineRule="auto"/>
      </w:pPr>
      <w:r>
        <w:rPr>
          <w:rFonts w:eastAsia="georgia" w:cs="georgia" w:ascii="georgia" w:hAnsi="georgia"/>
          <w:color w:val="000000"/>
          <w:sz w:val="21"/>
        </w:rPr>
        <w:t xml:space="preserve">Summarizes Epithalon’s key identifiers (sequence, formula, MW, CAS, CID) in a concise format.[web:58][web:61]</w:t>
      </w:r>
    </w:p>
    <w:p>
      <w:pPr>
        <w:numPr>
          <w:ilvl w:val="0"/>
          <w:numId w:val="13"/>
        </w:numPr>
        <w:spacing w:line="360" w:before="105" w:after="105" w:lineRule="auto"/>
      </w:pPr>
      <w:r>
        <w:rPr>
          <w:rFonts w:eastAsia="georgia" w:cs="georgia" w:ascii="georgia" w:hAnsi="georgia"/>
          <w:color w:val="000000"/>
          <w:sz w:val="21"/>
        </w:rPr>
        <w:t xml:space="preserve">Explains its role as a telomerase‑ and telomere‑focused research tool, along with other aging‑related themes, without making therapeutic claims.[web:54][web:63]</w:t>
      </w:r>
    </w:p>
    <w:p>
      <w:pPr>
        <w:numPr>
          <w:ilvl w:val="0"/>
          <w:numId w:val="13"/>
        </w:numPr>
        <w:spacing w:line="360" w:before="105" w:after="105" w:lineRule="auto"/>
      </w:pPr>
      <w:r>
        <w:rPr>
          <w:rFonts w:eastAsia="georgia" w:cs="georgia" w:ascii="georgia" w:hAnsi="georgia"/>
          <w:color w:val="000000"/>
          <w:sz w:val="21"/>
        </w:rPr>
        <w:t xml:space="preserve">Provides practical handling, storage, and quality information suitable for experimental planning.</w:t>
      </w:r>
    </w:p>
    <w:p>
      <w:pPr>
        <w:spacing w:line="360" w:after="210" w:lineRule="auto"/>
      </w:pPr>
      <w:r>
        <w:rPr>
          <w:rFonts w:eastAsia="georgia" w:cs="georgia" w:ascii="georgia" w:hAnsi="georgia"/>
          <w:color w:val="000000"/>
        </w:rPr>
        <w:t xml:space="preserve">You can use this copy directly on your product page or adapt it into shorter on‑page text plus a downloadable technical sheet.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research_use_only_and_safety_notice"/>
      <w:r>
        <w:rPr>
          <w:rFonts w:eastAsia="georgia" w:cs="georgia" w:ascii="georgia" w:hAnsi="georgia"/>
          <w:b/>
          <w:color w:val="000000"/>
          <w:sz w:val="24"/>
        </w:rPr>
        <w:t xml:space="preserve">Research‑use‑only and safety notice</w:t>
      </w:r>
      <w:bookmarkEnd w:id="19"/>
    </w:p>
    <w:p>
      <w:pPr>
        <w:spacing w:line="360" w:after="210" w:lineRule="auto"/>
        <w:ind w:left="630"/>
      </w:pPr>
      <w:r>
        <w:rPr>
          <w:rFonts w:eastAsia="georgia" w:cs="georgia" w:ascii="georgia" w:hAnsi="georgia"/>
          <w:b/>
          <w:color w:val="000000"/>
        </w:rPr>
        <w:t xml:space="preserve">FOR LABORATORY RESEARCH USE ONLY – NOT FOR HUMAN OR VETERINARY USE</w:t>
      </w:r>
      <w:r>
        <w:rPr>
          <w:rFonts w:eastAsia="georgia" w:cs="georgia" w:ascii="georgia" w:hAnsi="georgia"/>
          <w:color w:val="000000"/>
        </w:rPr>
        <w:br w:type="textWrapping"/>
      </w:r>
      <w:r>
        <w:rPr>
          <w:rFonts w:eastAsia="georgia" w:cs="georgia" w:ascii="georgia" w:hAnsi="georgia"/>
          <w:color w:val="000000"/>
        </w:rPr>
        <w:t xml:space="preserve">Epithalon (Epitalon) 10 mg is supplied solely as a research peptide for in‑vitro and preclinical applications. It is not a drug, dietary supplement, or medical product and has not been approved by the FDA, EMA, or other regulatory authorities for therapeutic use.[web:64]</w:t>
      </w:r>
    </w:p>
    <w:p>
      <w:pPr>
        <w:spacing w:line="360" w:after="210" w:lineRule="auto"/>
        <w:ind w:left="630"/>
      </w:pPr>
      <w:r>
        <w:rPr>
          <w:rFonts w:eastAsia="georgia" w:cs="georgia" w:ascii="georgia" w:hAnsi="georgia"/>
          <w:color w:val="000000"/>
        </w:rPr>
        <w:t xml:space="preserve">This material must not be used for diagnosis, treatment, mitigation, cure, or prevention of any disease and must not be administered to humans or animals outside properly approved research protocols. All handling should follow institutional safety procedures, including appropriate personal protective equipment, aseptic technique, and compliant waste disposal.</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2026-04-28T08:43:32.900Z</dcterms:created>
  <dcterms:modified xsi:type="dcterms:W3CDTF">2026-04-28T08:43:32.900Z</dcterms:modified>
</cp:coreProperties>
</file>