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_glutathione_600_mg_10_ml_reduce_1d4030"/>
      <w:r>
        <w:rPr>
          <w:rFonts w:eastAsia="georgia" w:cs="georgia" w:ascii="georgia" w:hAnsi="georgia"/>
          <w:b/>
          <w:color w:val="000000"/>
          <w:sz w:val="39"/>
        </w:rPr>
        <w:t xml:space="preserve">L‑Glutathione 600 mg (10 mL) – Reduced γ‑Glu‑Cys‑Gly Antioxidant Tripeptide (Research Grade)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L‑Glutathione 600 mg is a pure, lyophilised preparation of reduced glutathione (GSH), the naturally occurring tripeptide γ‑L‑glutamyl‑L‑cysteinyl‑glycine.[web:253][web:256][web:259] GSH is the predominant low‑molecular‑weight thiol in mammalian cells and functions as a central intracellular antioxidant and redox buffer in a wide range of biological systems.[web:253][web:256][web:265]</w:t>
      </w:r>
    </w:p>
    <w:p>
      <w:pPr>
        <w:spacing w:line="360" w:after="210" w:lineRule="auto"/>
      </w:pPr>
      <w:r>
        <w:rPr>
          <w:rFonts w:eastAsia="georgia" w:cs="georgia" w:ascii="georgia" w:hAnsi="georgia"/>
          <w:color w:val="000000"/>
        </w:rPr>
        <w:t xml:space="preserve">This 600 mg vial size is designed for redox biology, detoxification, and oxidative‑stress research in in‑vitro assays, cell culture work, and small‑animal models, where multiple experiments can be supported from a single vial. The product is supplied strictly for laboratory research use and is not intended for human or veterinary consumption, therapeutic use, or cosmetic application.[web:257][web:258][web:267]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L‑Glutathione 600 mg (reduced form, GSH)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Chemical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γ‑L‑glutamyl‑L‑cysteinyl‑glycine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formula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C₁₀H₁₇N₃O₆S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Molecular weight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~307.3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70‑18‑8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CID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124886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Redox pair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Reduced GSH / oxidised GSSG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lyophilised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Highly soluble in water and aqueous buffers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These identifiers and physicochemical properties are consistent with standard references for reduced L‑Glutathione.[web:253][web:256][web:262][web:263]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structure"/>
      <w:r>
        <w:rPr>
          <w:rFonts w:eastAsia="georgia" w:cs="georgia" w:ascii="georgia" w:hAnsi="georgia"/>
          <w:b/>
          <w:color w:val="000000"/>
          <w:sz w:val="24"/>
        </w:rPr>
        <w:t xml:space="preserve">Identity and structure</w:t>
      </w:r>
      <w:bookmarkEnd w:id="3"/>
    </w:p>
    <w:p>
      <w:pPr>
        <w:spacing w:line="360" w:after="210" w:lineRule="auto"/>
      </w:pPr>
      <w:r>
        <w:rPr>
          <w:rFonts w:eastAsia="georgia" w:cs="georgia" w:ascii="georgia" w:hAnsi="georgia"/>
          <w:color w:val="000000"/>
        </w:rPr>
        <w:t xml:space="preserve">Glutathione is a tripeptide composed of glutamate, cysteine, and glycine arranged through an unusual γ‑peptide linkage between the glutamate side‑chain carboxyl group and the cysteine amino group.[web:253][web:256][web:259]</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Sequence: γ‑Glu‑Cys‑Gly (γ‑L‑glutamyl‑L‑cysteinyl‑glycine).</w:t>
      </w:r>
    </w:p>
    <w:p>
      <w:pPr>
        <w:numPr>
          <w:ilvl w:val="0"/>
          <w:numId w:val="1"/>
        </w:numPr>
        <w:spacing w:line="360" w:before="105" w:after="105" w:lineRule="auto"/>
      </w:pPr>
      <w:r>
        <w:rPr>
          <w:rFonts w:eastAsia="georgia" w:cs="georgia" w:ascii="georgia" w:hAnsi="georgia"/>
          <w:color w:val="000000"/>
          <w:sz w:val="21"/>
        </w:rPr>
        <w:t xml:space="preserve">Molecular formula: C₁₀H₁₇N₃O₆S; molecular weight ~307.3 g/mol.[web:253][web:262][web:263]</w:t>
      </w:r>
    </w:p>
    <w:p>
      <w:pPr>
        <w:numPr>
          <w:ilvl w:val="0"/>
          <w:numId w:val="1"/>
        </w:numPr>
        <w:spacing w:line="360" w:before="105" w:after="105" w:lineRule="auto"/>
      </w:pPr>
      <w:r>
        <w:rPr>
          <w:rFonts w:eastAsia="georgia" w:cs="georgia" w:ascii="georgia" w:hAnsi="georgia"/>
          <w:color w:val="000000"/>
          <w:sz w:val="21"/>
        </w:rPr>
        <w:t xml:space="preserve">Functional group: free cysteine thiol (‑SH), responsible for the compound’s reducing and nucleophilic properties.[web:253][web:256][web:265]</w:t>
      </w:r>
    </w:p>
    <w:p>
      <w:pPr>
        <w:spacing w:line="360" w:after="210" w:lineRule="auto"/>
      </w:pPr>
      <w:r>
        <w:rPr>
          <w:rFonts w:eastAsia="georgia" w:cs="georgia" w:ascii="georgia" w:hAnsi="georgia"/>
          <w:color w:val="000000"/>
        </w:rPr>
        <w:t xml:space="preserve">The γ‑glutamyl linkage helps protect GSH from cleavage by many peptidases, contributing to its stability in biological systems.[web:253][web:256]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cientific_background_non_clinical"/>
      <w:r>
        <w:rPr>
          <w:rFonts w:eastAsia="georgia" w:cs="georgia" w:ascii="georgia" w:hAnsi="georgia"/>
          <w:b/>
          <w:color w:val="000000"/>
          <w:sz w:val="24"/>
        </w:rPr>
        <w:t xml:space="preserve">Scientific background (non‑clinical)</w:t>
      </w:r>
      <w:bookmarkEnd w:id="4"/>
    </w:p>
    <w:p>
      <w:pPr>
        <w:spacing w:line="360" w:before="315" w:after="105" w:lineRule="auto"/>
        <w:ind w:left="-30"/>
        <w:jc w:val="left"/>
      </w:pPr>
      <w:bookmarkStart w:id="5" w:name="role_as_an_intracellular_antioxidant"/>
      <w:r>
        <w:rPr>
          <w:rFonts w:eastAsia="georgia" w:cs="georgia" w:ascii="georgia" w:hAnsi="georgia"/>
          <w:b/>
          <w:color w:val="000000"/>
          <w:sz w:val="24"/>
        </w:rPr>
        <w:t xml:space="preserve">Role as an intracellular antioxidant</w:t>
      </w:r>
      <w:bookmarkEnd w:id="5"/>
    </w:p>
    <w:p>
      <w:pPr>
        <w:spacing w:line="360" w:after="210" w:lineRule="auto"/>
      </w:pPr>
      <w:r>
        <w:rPr>
          <w:rFonts w:eastAsia="georgia" w:cs="georgia" w:ascii="georgia" w:hAnsi="georgia"/>
          <w:color w:val="000000"/>
        </w:rPr>
        <w:t xml:space="preserve">GSH is the major non‑protein thiol in animal cells, with cytosolic concentrations commonly in the 0.5–10 mM range, far exceeding extracellular levels.[web:256][web:260][web:265] It directly scavenges reactive oxygen and nitrogen species, reduces disulfide bonds in proteins, and serves as a co‑substrate for glutathione peroxidases that detoxify peroxides.</w:t>
      </w:r>
    </w:p>
    <w:p>
      <w:pPr>
        <w:spacing w:line="360" w:after="210" w:lineRule="auto"/>
      </w:pPr>
      <w:r>
        <w:rPr>
          <w:rFonts w:eastAsia="georgia" w:cs="georgia" w:ascii="georgia" w:hAnsi="georgia"/>
          <w:color w:val="000000"/>
        </w:rPr>
        <w:t xml:space="preserve">In the process, GSH is oxidised to glutathione disulfide (GSSG); glutathione reductase then regenerates GSH using NADPH, maintaining a high GSH:GSSG ratio characteristic of healthy cells.[web:253][web:256][web:266]</w:t>
      </w:r>
    </w:p>
    <w:p>
      <w:pPr>
        <w:spacing w:line="360" w:before="315" w:after="105" w:lineRule="auto"/>
        <w:ind w:left="-30"/>
        <w:jc w:val="left"/>
      </w:pPr>
      <w:bookmarkStart w:id="6" w:name="central_role_in_detoxification_an_a68de1"/>
      <w:r>
        <w:rPr>
          <w:rFonts w:eastAsia="georgia" w:cs="georgia" w:ascii="georgia" w:hAnsi="georgia"/>
          <w:b/>
          <w:color w:val="000000"/>
          <w:sz w:val="24"/>
        </w:rPr>
        <w:t xml:space="preserve">Central role in detoxification and redox signalling</w:t>
      </w:r>
      <w:bookmarkEnd w:id="6"/>
    </w:p>
    <w:p>
      <w:pPr>
        <w:spacing w:line="360" w:after="210" w:lineRule="auto"/>
      </w:pPr>
      <w:r>
        <w:rPr>
          <w:rFonts w:eastAsia="georgia" w:cs="georgia" w:ascii="georgia" w:hAnsi="georgia"/>
          <w:color w:val="000000"/>
        </w:rPr>
        <w:t xml:space="preserve">GSH participates in phase II detoxification via glutathione S‑transferases, conjugating electrophilic xenobiotics and endogenous metabolites to form more water‑soluble products for elimination.[web:253][web:259][web:265] It also contributes to heavy‑metal binding and neutralisation of reactive aldehydes formed during lipid peroxidation.</w:t>
      </w:r>
    </w:p>
    <w:p>
      <w:pPr>
        <w:spacing w:line="360" w:after="210" w:lineRule="auto"/>
      </w:pPr>
      <w:r>
        <w:rPr>
          <w:rFonts w:eastAsia="georgia" w:cs="georgia" w:ascii="georgia" w:hAnsi="georgia"/>
          <w:color w:val="000000"/>
        </w:rPr>
        <w:t xml:space="preserve">Changes in GSH levels and GSH:GSSG ratios influence redox‑sensitive transcription factors and signalling pathways, making glutathione a key readout in oxidative‑stress and cell‑signalling research.[web:256][web:260][web:265]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representative_research_applications"/>
      <w:r>
        <w:rPr>
          <w:rFonts w:eastAsia="georgia" w:cs="georgia" w:ascii="georgia" w:hAnsi="georgia"/>
          <w:b/>
          <w:color w:val="000000"/>
          <w:sz w:val="24"/>
        </w:rPr>
        <w:t xml:space="preserve">Representative research applications</w:t>
      </w:r>
      <w:bookmarkEnd w:id="7"/>
    </w:p>
    <w:p>
      <w:pPr>
        <w:spacing w:line="360" w:after="210" w:lineRule="auto"/>
      </w:pPr>
      <w:r>
        <w:rPr>
          <w:rFonts w:eastAsia="georgia" w:cs="georgia" w:ascii="georgia" w:hAnsi="georgia"/>
          <w:color w:val="000000"/>
        </w:rPr>
        <w:t xml:space="preserve">L‑Glutathione 600 mg is intended for mechanistic studies of redox balance and cellular stress responses. Common preclinical research themes include:</w:t>
      </w:r>
    </w:p>
    <w:p>
      <w:pPr>
        <w:numPr>
          <w:ilvl w:val="0"/>
          <w:numId w:val="2"/>
        </w:numPr>
        <w:spacing w:line="360" w:before="105" w:after="105" w:lineRule="auto"/>
      </w:pPr>
      <w:r>
        <w:rPr>
          <w:rFonts w:eastAsia="georgia" w:cs="georgia" w:ascii="georgia" w:hAnsi="georgia"/>
          <w:b/>
          <w:color w:val="000000"/>
          <w:sz w:val="21"/>
        </w:rPr>
        <w:t xml:space="preserve">Oxidative stress and redox homeostasis</w:t>
      </w:r>
      <w:r>
        <w:rPr>
          <w:rFonts w:eastAsia="georgia" w:cs="georgia" w:ascii="georgia" w:hAnsi="georgia"/>
          <w:color w:val="000000"/>
          <w:sz w:val="21"/>
        </w:rPr>
        <w:t xml:space="preserve"> – examining GSH/GSSG ratios, antioxidant capacity, and ROS detoxification in cell culture and tissue models.[web:256][web:260][web:265]</w:t>
      </w:r>
    </w:p>
    <w:p>
      <w:pPr>
        <w:numPr>
          <w:ilvl w:val="0"/>
          <w:numId w:val="2"/>
        </w:numPr>
        <w:spacing w:line="360" w:before="105" w:after="105" w:lineRule="auto"/>
      </w:pPr>
      <w:r>
        <w:rPr>
          <w:rFonts w:eastAsia="georgia" w:cs="georgia" w:ascii="georgia" w:hAnsi="georgia"/>
          <w:b/>
          <w:color w:val="000000"/>
          <w:sz w:val="21"/>
        </w:rPr>
        <w:t xml:space="preserve">Detoxification and toxicology</w:t>
      </w:r>
      <w:r>
        <w:rPr>
          <w:rFonts w:eastAsia="georgia" w:cs="georgia" w:ascii="georgia" w:hAnsi="georgia"/>
          <w:color w:val="000000"/>
          <w:sz w:val="21"/>
        </w:rPr>
        <w:t xml:space="preserve"> – investigating glutathione S‑transferase activity, xenobiotic conjugation, and GSH depletion in drug‑induced or environmental toxicity models.[web:253][web:259][web:265]</w:t>
      </w:r>
    </w:p>
    <w:p>
      <w:pPr>
        <w:numPr>
          <w:ilvl w:val="0"/>
          <w:numId w:val="2"/>
        </w:numPr>
        <w:spacing w:line="360" w:before="105" w:after="105" w:lineRule="auto"/>
      </w:pPr>
      <w:r>
        <w:rPr>
          <w:rFonts w:eastAsia="georgia" w:cs="georgia" w:ascii="georgia" w:hAnsi="georgia"/>
          <w:b/>
          <w:color w:val="000000"/>
          <w:sz w:val="21"/>
        </w:rPr>
        <w:t xml:space="preserve">Mitochondrial and hepatic function</w:t>
      </w:r>
      <w:r>
        <w:rPr>
          <w:rFonts w:eastAsia="georgia" w:cs="georgia" w:ascii="georgia" w:hAnsi="georgia"/>
          <w:color w:val="000000"/>
          <w:sz w:val="21"/>
        </w:rPr>
        <w:t xml:space="preserve"> – studying mitochondrial redox balance, liver injury models, and ischemia‑reperfusion injury where GSH levels are critical readouts.[web:256][web:260][web:265]</w:t>
      </w:r>
    </w:p>
    <w:p>
      <w:pPr>
        <w:numPr>
          <w:ilvl w:val="0"/>
          <w:numId w:val="2"/>
        </w:numPr>
        <w:spacing w:line="360" w:before="105" w:after="105" w:lineRule="auto"/>
      </w:pPr>
      <w:r>
        <w:rPr>
          <w:rFonts w:eastAsia="georgia" w:cs="georgia" w:ascii="georgia" w:hAnsi="georgia"/>
          <w:b/>
          <w:color w:val="000000"/>
          <w:sz w:val="21"/>
        </w:rPr>
        <w:t xml:space="preserve">Neuroprotection and aging</w:t>
      </w:r>
      <w:r>
        <w:rPr>
          <w:rFonts w:eastAsia="georgia" w:cs="georgia" w:ascii="georgia" w:hAnsi="georgia"/>
          <w:color w:val="000000"/>
          <w:sz w:val="21"/>
        </w:rPr>
        <w:t xml:space="preserve"> – assessing GSH involvement in neuronal oxidative stress, age‑related redox decline, and related signalling pathways.[web:256][web:265]</w:t>
      </w:r>
    </w:p>
    <w:p>
      <w:pPr>
        <w:spacing w:line="360" w:after="210" w:lineRule="auto"/>
      </w:pPr>
      <w:r>
        <w:rPr>
          <w:rFonts w:eastAsia="georgia" w:cs="georgia" w:ascii="georgia" w:hAnsi="georgia"/>
          <w:color w:val="000000"/>
        </w:rPr>
        <w:t xml:space="preserve">All such uses remain restricted to in‑vitro systems and preclinical animal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form_and_typical_analytical_speci_86985e"/>
      <w:r>
        <w:rPr>
          <w:rFonts w:eastAsia="georgia" w:cs="georgia" w:ascii="georgia" w:hAnsi="georgia"/>
          <w:b/>
          <w:color w:val="000000"/>
          <w:sz w:val="24"/>
        </w:rPr>
        <w:t xml:space="preserve">Form and typical analytical specifications</w:t>
      </w:r>
      <w:bookmarkEnd w:id="8"/>
    </w:p>
    <w:p>
      <w:pPr>
        <w:numPr>
          <w:ilvl w:val="0"/>
          <w:numId w:val="3"/>
        </w:numPr>
        <w:spacing w:line="360" w:before="105" w:after="105" w:lineRule="auto"/>
      </w:pPr>
      <w:r>
        <w:rPr>
          <w:rFonts w:eastAsia="georgia" w:cs="georgia" w:ascii="georgia" w:hAnsi="georgia"/>
          <w:color w:val="000000"/>
          <w:sz w:val="21"/>
        </w:rPr>
        <w:t xml:space="preserve">Form: white to off‑white lyophilised powder in sealed vials.[web:257][web:259][web:267]</w:t>
      </w:r>
    </w:p>
    <w:p>
      <w:pPr>
        <w:numPr>
          <w:ilvl w:val="0"/>
          <w:numId w:val="3"/>
        </w:numPr>
        <w:spacing w:line="360" w:before="105" w:after="105" w:lineRule="auto"/>
      </w:pPr>
      <w:r>
        <w:rPr>
          <w:rFonts w:eastAsia="georgia" w:cs="georgia" w:ascii="georgia" w:hAnsi="georgia"/>
          <w:color w:val="000000"/>
          <w:sz w:val="21"/>
        </w:rPr>
        <w:t xml:space="preserve">Content per vial: 600 mg reduced L‑Glutathione (nominal).</w:t>
      </w:r>
    </w:p>
    <w:p>
      <w:pPr>
        <w:numPr>
          <w:ilvl w:val="0"/>
          <w:numId w:val="3"/>
        </w:numPr>
        <w:spacing w:line="360" w:before="105" w:after="105" w:lineRule="auto"/>
      </w:pPr>
      <w:r>
        <w:rPr>
          <w:rFonts w:eastAsia="georgia" w:cs="georgia" w:ascii="georgia" w:hAnsi="georgia"/>
          <w:color w:val="000000"/>
          <w:sz w:val="21"/>
        </w:rPr>
        <w:t xml:space="preserve">Typical purity: ≥98–99% by HPLC, with oxidised glutathione (GSSG) and related species controlled as impurities.[web:257][web:259][web:263]</w:t>
      </w:r>
    </w:p>
    <w:p>
      <w:pPr>
        <w:numPr>
          <w:ilvl w:val="0"/>
          <w:numId w:val="3"/>
        </w:numPr>
        <w:spacing w:line="360" w:before="105" w:after="105" w:lineRule="auto"/>
      </w:pPr>
      <w:r>
        <w:rPr>
          <w:rFonts w:eastAsia="georgia" w:cs="georgia" w:ascii="georgia" w:hAnsi="georgia"/>
          <w:color w:val="000000"/>
          <w:sz w:val="21"/>
        </w:rPr>
        <w:t xml:space="preserve">Identity: confirmed by mass spectrometry and, where applicable, additional spectroscopic methods.[web:257][web:259]</w:t>
      </w:r>
    </w:p>
    <w:p>
      <w:pPr>
        <w:spacing w:line="360" w:after="210" w:lineRule="auto"/>
      </w:pPr>
      <w:r>
        <w:rPr>
          <w:rFonts w:eastAsia="georgia" w:cs="georgia" w:ascii="georgia" w:hAnsi="georgia"/>
          <w:color w:val="000000"/>
        </w:rPr>
        <w:t xml:space="preserve">Batch‑specific Certificates of Analysis provide exact purity values, analytical conditions, and acceptance criteria.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handling_reconstitution_and_storage"/>
      <w:r>
        <w:rPr>
          <w:rFonts w:eastAsia="georgia" w:cs="georgia" w:ascii="georgia" w:hAnsi="georgia"/>
          <w:b/>
          <w:color w:val="000000"/>
          <w:sz w:val="24"/>
        </w:rPr>
        <w:t xml:space="preserve">Handling, reconstitution, and storage</w:t>
      </w:r>
      <w:bookmarkEnd w:id="9"/>
    </w:p>
    <w:p>
      <w:pPr>
        <w:spacing w:line="360" w:before="315" w:after="105" w:lineRule="auto"/>
        <w:ind w:left="-30"/>
        <w:jc w:val="left"/>
      </w:pPr>
      <w:bookmarkStart w:id="10" w:name="lyophilised_powder"/>
      <w:r>
        <w:rPr>
          <w:rFonts w:eastAsia="georgia" w:cs="georgia" w:ascii="georgia" w:hAnsi="georgia"/>
          <w:b/>
          <w:color w:val="000000"/>
          <w:sz w:val="24"/>
        </w:rPr>
        <w:t xml:space="preserve">Lyophilised powder</w:t>
      </w:r>
      <w:bookmarkEnd w:id="10"/>
    </w:p>
    <w:p>
      <w:pPr>
        <w:numPr>
          <w:ilvl w:val="0"/>
          <w:numId w:val="4"/>
        </w:numPr>
        <w:spacing w:line="360" w:before="105" w:after="105" w:lineRule="auto"/>
      </w:pPr>
      <w:r>
        <w:rPr>
          <w:rFonts w:eastAsia="georgia" w:cs="georgia" w:ascii="georgia" w:hAnsi="georgia"/>
          <w:color w:val="000000"/>
          <w:sz w:val="21"/>
        </w:rPr>
        <w:t xml:space="preserve">Store unopened vials at −20 °C or below in a dry, dark environment to minimise oxidation and moisture uptake.[web:255][web:258][web:264]</w:t>
      </w:r>
    </w:p>
    <w:p>
      <w:pPr>
        <w:numPr>
          <w:ilvl w:val="0"/>
          <w:numId w:val="4"/>
        </w:numPr>
        <w:spacing w:line="360" w:before="105" w:after="105" w:lineRule="auto"/>
      </w:pPr>
      <w:r>
        <w:rPr>
          <w:rFonts w:eastAsia="georgia" w:cs="georgia" w:ascii="georgia" w:hAnsi="georgia"/>
          <w:color w:val="000000"/>
          <w:sz w:val="21"/>
        </w:rPr>
        <w:t xml:space="preserve">Keep vials tightly sealed; protect from repeated temperature cycling.</w:t>
      </w:r>
    </w:p>
    <w:p>
      <w:pPr>
        <w:spacing w:line="360" w:before="315" w:after="105" w:lineRule="auto"/>
        <w:ind w:left="-30"/>
        <w:jc w:val="left"/>
      </w:pPr>
      <w:bookmarkStart w:id="11" w:name="reconstitution"/>
      <w:r>
        <w:rPr>
          <w:rFonts w:eastAsia="georgia" w:cs="georgia" w:ascii="georgia" w:hAnsi="georgia"/>
          <w:b/>
          <w:color w:val="000000"/>
          <w:sz w:val="24"/>
        </w:rPr>
        <w:t xml:space="preserve">Reconstitution</w:t>
      </w:r>
      <w:bookmarkEnd w:id="11"/>
    </w:p>
    <w:p>
      <w:pPr>
        <w:spacing w:line="360" w:after="210" w:lineRule="auto"/>
      </w:pPr>
      <w:r>
        <w:rPr>
          <w:rFonts w:eastAsia="georgia" w:cs="georgia" w:ascii="georgia" w:hAnsi="georgia"/>
          <w:color w:val="000000"/>
        </w:rPr>
        <w:t xml:space="preserve">Glutathione is highly water‑soluble but susceptible to oxidation in solution:</w:t>
      </w:r>
    </w:p>
    <w:p>
      <w:pPr>
        <w:numPr>
          <w:ilvl w:val="0"/>
          <w:numId w:val="5"/>
        </w:numPr>
        <w:spacing w:line="360" w:before="105" w:after="105" w:lineRule="auto"/>
      </w:pPr>
      <w:r>
        <w:rPr>
          <w:rFonts w:eastAsia="georgia" w:cs="georgia" w:ascii="georgia" w:hAnsi="georgia"/>
          <w:color w:val="000000"/>
          <w:sz w:val="21"/>
        </w:rPr>
        <w:t xml:space="preserve">Reconstitute with degassed sterile water, PBS, or another suitable buffer (pH ~7.0–7.4) under aseptic conditions.[web:255][web:258][web:261]</w:t>
      </w:r>
    </w:p>
    <w:p>
      <w:pPr>
        <w:numPr>
          <w:ilvl w:val="0"/>
          <w:numId w:val="5"/>
        </w:numPr>
        <w:spacing w:line="360" w:before="105" w:after="105" w:lineRule="auto"/>
      </w:pPr>
      <w:r>
        <w:rPr>
          <w:rFonts w:eastAsia="georgia" w:cs="georgia" w:ascii="georgia" w:hAnsi="georgia"/>
          <w:color w:val="000000"/>
          <w:sz w:val="21"/>
        </w:rPr>
        <w:t xml:space="preserve">Add solvent slowly along the vial wall and gently swirl until dissolved; avoid vigorous shaking that entrains air.</w:t>
      </w:r>
    </w:p>
    <w:p>
      <w:pPr>
        <w:numPr>
          <w:ilvl w:val="0"/>
          <w:numId w:val="5"/>
        </w:numPr>
        <w:spacing w:line="360" w:before="105" w:after="105" w:lineRule="auto"/>
      </w:pPr>
      <w:r>
        <w:rPr>
          <w:rFonts w:eastAsia="georgia" w:cs="georgia" w:ascii="georgia" w:hAnsi="georgia"/>
          <w:color w:val="000000"/>
          <w:sz w:val="21"/>
        </w:rPr>
        <w:t xml:space="preserve">Use freshly prepared solutions when possible; note that visible colour change or precipitation may indicate oxidation or degradation.</w:t>
      </w:r>
    </w:p>
    <w:p>
      <w:pPr>
        <w:spacing w:line="360" w:before="315" w:after="105" w:lineRule="auto"/>
        <w:ind w:left="-30"/>
        <w:jc w:val="left"/>
      </w:pPr>
      <w:bookmarkStart w:id="12" w:name="reconstituted_solutions"/>
      <w:r>
        <w:rPr>
          <w:rFonts w:eastAsia="georgia" w:cs="georgia" w:ascii="georgia" w:hAnsi="georgia"/>
          <w:b/>
          <w:color w:val="000000"/>
          <w:sz w:val="24"/>
        </w:rPr>
        <w:t xml:space="preserve">Reconstituted solutions</w:t>
      </w:r>
      <w:bookmarkEnd w:id="12"/>
    </w:p>
    <w:p>
      <w:pPr>
        <w:numPr>
          <w:ilvl w:val="0"/>
          <w:numId w:val="6"/>
        </w:numPr>
        <w:spacing w:line="360" w:before="105" w:after="105" w:lineRule="auto"/>
      </w:pPr>
      <w:r>
        <w:rPr>
          <w:rFonts w:eastAsia="georgia" w:cs="georgia" w:ascii="georgia" w:hAnsi="georgia"/>
          <w:color w:val="000000"/>
          <w:sz w:val="21"/>
        </w:rPr>
        <w:t xml:space="preserve">For short‑term use, store at 2–8 °C, protected from light, and use within a limited window defined by internal stability data (often days rather than weeks because of thiol oxidation sensitivity).[web:255][web:258][web:264]</w:t>
      </w:r>
    </w:p>
    <w:p>
      <w:pPr>
        <w:numPr>
          <w:ilvl w:val="0"/>
          <w:numId w:val="6"/>
        </w:numPr>
        <w:spacing w:line="360" w:before="105" w:after="105" w:lineRule="auto"/>
      </w:pPr>
      <w:r>
        <w:rPr>
          <w:rFonts w:eastAsia="georgia" w:cs="georgia" w:ascii="georgia" w:hAnsi="georgia"/>
          <w:color w:val="000000"/>
          <w:sz w:val="21"/>
        </w:rPr>
        <w:t xml:space="preserve">For longer‑term storage, aliquot into tightly sealed, light‑protected tubes and freeze at −20 °C or below, minimising freeze–thaw cycles.</w:t>
      </w:r>
    </w:p>
    <w:p>
      <w:pPr>
        <w:numPr>
          <w:ilvl w:val="0"/>
          <w:numId w:val="6"/>
        </w:numPr>
        <w:spacing w:line="360" w:before="105" w:after="105" w:lineRule="auto"/>
      </w:pPr>
      <w:r>
        <w:rPr>
          <w:rFonts w:eastAsia="georgia" w:cs="georgia" w:ascii="georgia" w:hAnsi="georgia"/>
          <w:color w:val="000000"/>
          <w:sz w:val="21"/>
        </w:rPr>
        <w:t xml:space="preserve">Laboratories sometimes employ inert‑gas overlays or metal‑chelating buffers to further limit oxidation.</w:t>
      </w:r>
    </w:p>
    <w:p>
      <w:pPr>
        <w:spacing w:line="360" w:after="210" w:lineRule="auto"/>
      </w:pPr>
      <w:r>
        <w:rPr>
          <w:rFonts w:eastAsia="georgia" w:cs="georgia" w:ascii="georgia" w:hAnsi="georgia"/>
          <w:color w:val="000000"/>
        </w:rPr>
        <w:t xml:space="preserve">Each facility should verify stability for its own conditions and follow institutional SOPs for thiol‑containing compounds.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analytical_quality_and_documentation"/>
      <w:r>
        <w:rPr>
          <w:rFonts w:eastAsia="georgia" w:cs="georgia" w:ascii="georgia" w:hAnsi="georgia"/>
          <w:b/>
          <w:color w:val="000000"/>
          <w:sz w:val="24"/>
        </w:rPr>
        <w:t xml:space="preserve">Analytical quality and documentation</w:t>
      </w:r>
      <w:bookmarkEnd w:id="13"/>
    </w:p>
    <w:p>
      <w:pPr>
        <w:spacing w:line="360" w:after="210" w:lineRule="auto"/>
      </w:pPr>
      <w:r>
        <w:rPr>
          <w:rFonts w:eastAsia="georgia" w:cs="georgia" w:ascii="georgia" w:hAnsi="georgia"/>
          <w:color w:val="000000"/>
        </w:rPr>
        <w:t xml:space="preserve">Typical quality‑control measures for research‑grade L‑Glutathione include:</w:t>
      </w:r>
    </w:p>
    <w:p>
      <w:pPr>
        <w:numPr>
          <w:ilvl w:val="0"/>
          <w:numId w:val="7"/>
        </w:numPr>
        <w:spacing w:line="360" w:before="105" w:after="105" w:lineRule="auto"/>
      </w:pPr>
      <w:r>
        <w:rPr>
          <w:rFonts w:eastAsia="georgia" w:cs="georgia" w:ascii="georgia" w:hAnsi="georgia"/>
          <w:b/>
          <w:color w:val="000000"/>
          <w:sz w:val="21"/>
        </w:rPr>
        <w:t xml:space="preserve">Purity</w:t>
      </w:r>
    </w:p>
    <w:p>
      <w:pPr>
        <w:numPr>
          <w:ilvl w:val="1"/>
          <w:numId w:val="7"/>
        </w:numPr>
        <w:spacing w:line="360" w:before="105" w:after="105" w:lineRule="auto"/>
      </w:pPr>
      <w:r>
        <w:rPr>
          <w:rFonts w:eastAsia="georgia" w:cs="georgia" w:ascii="georgia" w:hAnsi="georgia"/>
          <w:color w:val="000000"/>
          <w:sz w:val="21"/>
        </w:rPr>
        <w:t xml:space="preserve">Reversed‑phase HPLC or related chromatographic methods confirming high GSH content and low levels of GSSG and other impurities.[web:257][web:259][web:263]</w:t>
      </w:r>
    </w:p>
    <w:p>
      <w:pPr>
        <w:numPr>
          <w:ilvl w:val="0"/>
          <w:numId w:val="7"/>
        </w:numPr>
        <w:spacing w:line="360" w:before="105" w:after="105" w:lineRule="auto"/>
      </w:pPr>
      <w:r>
        <w:rPr>
          <w:rFonts w:eastAsia="georgia" w:cs="georgia" w:ascii="georgia" w:hAnsi="georgia"/>
          <w:b/>
          <w:color w:val="000000"/>
          <w:sz w:val="21"/>
        </w:rPr>
        <w:t xml:space="preserve">Identity</w:t>
      </w:r>
    </w:p>
    <w:p>
      <w:pPr>
        <w:numPr>
          <w:ilvl w:val="1"/>
          <w:numId w:val="7"/>
        </w:numPr>
        <w:spacing w:line="360" w:before="105" w:after="105" w:lineRule="auto"/>
      </w:pPr>
      <w:r>
        <w:rPr>
          <w:rFonts w:eastAsia="georgia" w:cs="georgia" w:ascii="georgia" w:hAnsi="georgia"/>
          <w:color w:val="000000"/>
          <w:sz w:val="21"/>
        </w:rPr>
        <w:t xml:space="preserve">Mass spectrometry confirming expected molecular weight (~307.3 g/mol).</w:t>
      </w:r>
    </w:p>
    <w:p>
      <w:pPr>
        <w:numPr>
          <w:ilvl w:val="1"/>
          <w:numId w:val="7"/>
        </w:numPr>
        <w:spacing w:line="360" w:before="105" w:after="105" w:lineRule="auto"/>
      </w:pPr>
      <w:r>
        <w:rPr>
          <w:rFonts w:eastAsia="georgia" w:cs="georgia" w:ascii="georgia" w:hAnsi="georgia"/>
          <w:color w:val="000000"/>
          <w:sz w:val="21"/>
        </w:rPr>
        <w:t xml:space="preserve">Optional NMR or amino‑acid composition checks where required for method validation.[web:257][web:262]</w:t>
      </w:r>
    </w:p>
    <w:p>
      <w:pPr>
        <w:numPr>
          <w:ilvl w:val="0"/>
          <w:numId w:val="7"/>
        </w:numPr>
        <w:spacing w:line="360" w:before="105" w:after="105" w:lineRule="auto"/>
      </w:pPr>
      <w:r>
        <w:rPr>
          <w:rFonts w:eastAsia="georgia" w:cs="georgia" w:ascii="georgia" w:hAnsi="georgia"/>
          <w:b/>
          <w:color w:val="000000"/>
          <w:sz w:val="21"/>
        </w:rPr>
        <w:t xml:space="preserve">Additional testing</w:t>
      </w:r>
    </w:p>
    <w:p>
      <w:pPr>
        <w:numPr>
          <w:ilvl w:val="1"/>
          <w:numId w:val="7"/>
        </w:numPr>
        <w:spacing w:line="360" w:before="105" w:after="105" w:lineRule="auto"/>
      </w:pPr>
      <w:r>
        <w:rPr>
          <w:rFonts w:eastAsia="georgia" w:cs="georgia" w:ascii="georgia" w:hAnsi="georgia"/>
          <w:color w:val="000000"/>
          <w:sz w:val="21"/>
        </w:rPr>
        <w:t xml:space="preserve">Water content, residual solvents, and inorganic impurities.</w:t>
      </w:r>
    </w:p>
    <w:p>
      <w:pPr>
        <w:numPr>
          <w:ilvl w:val="1"/>
          <w:numId w:val="7"/>
        </w:numPr>
        <w:spacing w:line="360" w:before="105" w:after="105" w:lineRule="auto"/>
      </w:pPr>
      <w:r>
        <w:rPr>
          <w:rFonts w:eastAsia="georgia" w:cs="georgia" w:ascii="georgia" w:hAnsi="georgia"/>
          <w:color w:val="000000"/>
          <w:sz w:val="21"/>
        </w:rPr>
        <w:t xml:space="preserve">Microbial and endotoxin testing appropriate for research‑grade materials.[web:257][web:259][web:267]</w:t>
      </w:r>
    </w:p>
    <w:p>
      <w:pPr>
        <w:spacing w:line="360" w:after="210" w:lineRule="auto"/>
      </w:pPr>
      <w:r>
        <w:rPr>
          <w:rFonts w:eastAsia="georgia" w:cs="georgia" w:ascii="georgia" w:hAnsi="georgia"/>
          <w:color w:val="000000"/>
        </w:rPr>
        <w:t xml:space="preserve">Batch‑specific Certificates of Analysis (COAs) should be consulted when designing experiments or assembling documentation for institutional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research_use_only_and_safety_notice"/>
      <w:r>
        <w:rPr>
          <w:rFonts w:eastAsia="georgia" w:cs="georgia" w:ascii="georgia" w:hAnsi="georgia"/>
          <w:b/>
          <w:color w:val="000000"/>
          <w:sz w:val="24"/>
        </w:rPr>
        <w:t xml:space="preserve">Research‑use‑only and safety notice</w:t>
      </w:r>
      <w:bookmarkEnd w:id="14"/>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L‑Glutathione 600 mg is supplied solely as a research chemical for in‑vitro assays and preclinical animal studies under appropriate institutional oversight. It is not manufactured, tested, or approved as a dietary ingredient, pharmaceutical, injectable product, or cosmetic, and must not be used for diagnosis, treatment, or prevention of disease.[web:257][web:258][web:267]</w:t>
      </w:r>
    </w:p>
    <w:p>
      <w:pPr>
        <w:spacing w:line="360" w:after="210" w:lineRule="auto"/>
        <w:ind w:left="630"/>
      </w:pPr>
      <w:r>
        <w:rPr>
          <w:rFonts w:eastAsia="georgia" w:cs="georgia" w:ascii="georgia" w:hAnsi="georgia"/>
          <w:color w:val="000000"/>
        </w:rPr>
        <w:t xml:space="preserve">This material must not be administered to humans or animals outside properly reviewed research protocols. All handling should comply with local regulations, institutional biosafety guidance, and good laboratory practice, including appropriate personal protective equipment and safe disposal of thiol‑containing solutions as laboratory chemical waste.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2026-04-30T13:22:37.268Z</dcterms:created>
  <dcterms:modified xsi:type="dcterms:W3CDTF">2026-04-30T13:22:37.268Z</dcterms:modified>
</cp:coreProperties>
</file>