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gf_1_lr3_1_mg_long_arg3_insulin_71c3b5"/>
      <w:r>
        <w:rPr>
          <w:rFonts w:eastAsia="georgia" w:cs="georgia" w:ascii="georgia" w:hAnsi="georgia"/>
          <w:b/>
          <w:color w:val="000000"/>
          <w:sz w:val="39"/>
        </w:rPr>
        <w:t xml:space="preserve">IGF‑1 LR3 1 mg – Long Arg3 Insulin‑Like Growth Factor‑1 (Research Grade Analogue)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IGF‑1 LR3 (Long Arg3 Insulin‑Like Growth Factor‑1) is a recombinant analogue of human insulin‑like growth factor‑1 engineered for increased metabolic stability and extended receptor engagement in controlled research models.[web:236][web:237][web:240] The LR3 variant incorporates a 13‑amino‑acid N‑terminal extension and a glutamic‑acid‑to‑arginine substitution at position 3, changes that markedly reduce binding to IGF‑binding proteins while preserving high‑affinity activation of the IGF‑1 receptor (IGF‑1R).[web:236][web:239][web:248]</w:t>
      </w:r>
    </w:p>
    <w:p>
      <w:pPr>
        <w:spacing w:line="360" w:after="210" w:lineRule="auto"/>
      </w:pPr>
      <w:r>
        <w:rPr>
          <w:rFonts w:eastAsia="georgia" w:cs="georgia" w:ascii="georgia" w:hAnsi="georgia"/>
          <w:color w:val="000000"/>
        </w:rPr>
        <w:t xml:space="preserve">Researchers use IGF‑1 LR3 to study IGF‑1R‑mediated signalling in cell growth, protein synthesis, metabolism, and tissue‑repair pathways in vitro and in preclinical animal models. It is supplied strictly as a research peptide and is not formulated or approved for human or veterinary use, therapeutic applications, or dietary supplementation.[web:237][web:239][web:248]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IGF‑1 LR3 1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Long Arg3 Insulin‑Like Growth Factor‑1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Sequence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83 amino acids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Key modifications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13‑residue N‑terminal extension + Arg at position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C₄₀₀H₆₂₅N₁₁₁O₁₁₅S₉</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Approx. mol.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~9.1 kDa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946870‑92‑4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Parent peptide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Human IGF‑1 (70 amino acids)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lyophilised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structural details align with widely cited descriptions of IGF‑1 LR3.[web:236][web:239][web:242][web:248]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IGF‑1 LR3 retains the core IGF‑1 sequence and disulfide‑bonded fold essential for binding and activating the IGF‑1 receptor while introducing modifications that alter binding‑protein interactions and half‑life.[web:236][web:240][web:248]</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Sequence: 83 amino acids; native IGF‑1 is 70 amino acids.</w:t>
      </w:r>
    </w:p>
    <w:p>
      <w:pPr>
        <w:numPr>
          <w:ilvl w:val="0"/>
          <w:numId w:val="1"/>
        </w:numPr>
        <w:spacing w:line="360" w:before="105" w:after="105" w:lineRule="auto"/>
      </w:pPr>
      <w:r>
        <w:rPr>
          <w:rFonts w:eastAsia="georgia" w:cs="georgia" w:ascii="georgia" w:hAnsi="georgia"/>
          <w:color w:val="000000"/>
          <w:sz w:val="21"/>
        </w:rPr>
        <w:t xml:space="preserve">N‑terminal extension: 13 additional residues at the N‑terminus.</w:t>
      </w:r>
    </w:p>
    <w:p>
      <w:pPr>
        <w:numPr>
          <w:ilvl w:val="0"/>
          <w:numId w:val="1"/>
        </w:numPr>
        <w:spacing w:line="360" w:before="105" w:after="105" w:lineRule="auto"/>
      </w:pPr>
      <w:r>
        <w:rPr>
          <w:rFonts w:eastAsia="georgia" w:cs="georgia" w:ascii="georgia" w:hAnsi="georgia"/>
          <w:color w:val="000000"/>
          <w:sz w:val="21"/>
        </w:rPr>
        <w:t xml:space="preserve">Position 3 substitution: arginine in place of glutamic acid (the “R3” modification).[web:236][web:239][web:242]</w:t>
      </w:r>
    </w:p>
    <w:p>
      <w:pPr>
        <w:numPr>
          <w:ilvl w:val="0"/>
          <w:numId w:val="1"/>
        </w:numPr>
        <w:spacing w:line="360" w:before="105" w:after="105" w:lineRule="auto"/>
      </w:pPr>
      <w:r>
        <w:rPr>
          <w:rFonts w:eastAsia="georgia" w:cs="georgia" w:ascii="georgia" w:hAnsi="georgia"/>
          <w:color w:val="000000"/>
          <w:sz w:val="21"/>
        </w:rPr>
        <w:t xml:space="preserve">Molecular formula: C₄₀₀H₆₂₅N₁₁₁O₁₁₅S₉; approximate molecular weight ~9.1 kDa.[web:236][web:239]</w:t>
      </w:r>
    </w:p>
    <w:p>
      <w:pPr>
        <w:spacing w:line="360" w:after="210" w:lineRule="auto"/>
      </w:pPr>
      <w:r>
        <w:rPr>
          <w:rFonts w:eastAsia="georgia" w:cs="georgia" w:ascii="georgia" w:hAnsi="georgia"/>
          <w:color w:val="000000"/>
        </w:rPr>
        <w:t xml:space="preserve">These changes reduce affinity for IGF‑binding proteins (IGFBPs), particularly IGFBP‑3, and extend the effective duration of IGF‑1R signalling in experimental systems.[web:236][web:239][web:248]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igf_1r_activation"/>
      <w:r>
        <w:rPr>
          <w:rFonts w:eastAsia="georgia" w:cs="georgia" w:ascii="georgia" w:hAnsi="georgia"/>
          <w:b/>
          <w:color w:val="000000"/>
          <w:sz w:val="24"/>
        </w:rPr>
        <w:t xml:space="preserve">IGF‑1R activation</w:t>
      </w:r>
      <w:bookmarkEnd w:id="5"/>
    </w:p>
    <w:p>
      <w:pPr>
        <w:spacing w:line="360" w:after="210" w:lineRule="auto"/>
      </w:pPr>
      <w:r>
        <w:rPr>
          <w:rFonts w:eastAsia="georgia" w:cs="georgia" w:ascii="georgia" w:hAnsi="georgia"/>
          <w:color w:val="000000"/>
        </w:rPr>
        <w:t xml:space="preserve">IGF‑1 LR3 acts as an agonist of the IGF‑1 receptor, a receptor tyrosine kinase expressed across many cell types.[web:236][web:240][web:248] Upon binding, IGF‑1R autophosphorylates and initiates downstream signalling cascades including PI3K/Akt and MAPK pathways, which regulate protein synthesis, cell proliferation, survival, and metabolic functions.</w:t>
      </w:r>
    </w:p>
    <w:p>
      <w:pPr>
        <w:spacing w:line="360" w:after="210" w:lineRule="auto"/>
      </w:pPr>
      <w:r>
        <w:rPr>
          <w:rFonts w:eastAsia="georgia" w:cs="georgia" w:ascii="georgia" w:hAnsi="georgia"/>
          <w:color w:val="000000"/>
        </w:rPr>
        <w:t xml:space="preserve">The LR3 variant is often used where sustained IGF‑1R activation is desired within a defined experimental window, without the stronger binding‑protein regulation seen with native IGF‑1.[web:237][web:239][web:248]</w:t>
      </w:r>
    </w:p>
    <w:p>
      <w:pPr>
        <w:spacing w:line="360" w:before="315" w:after="105" w:lineRule="auto"/>
        <w:ind w:left="-30"/>
        <w:jc w:val="left"/>
      </w:pPr>
      <w:bookmarkStart w:id="6" w:name="binding_protein_independence_and_1cd1e8"/>
      <w:r>
        <w:rPr>
          <w:rFonts w:eastAsia="georgia" w:cs="georgia" w:ascii="georgia" w:hAnsi="georgia"/>
          <w:b/>
          <w:color w:val="000000"/>
          <w:sz w:val="24"/>
        </w:rPr>
        <w:t xml:space="preserve">Binding‑protein independence and half‑life</w:t>
      </w:r>
      <w:bookmarkEnd w:id="6"/>
    </w:p>
    <w:p>
      <w:pPr>
        <w:spacing w:line="360" w:after="210" w:lineRule="auto"/>
      </w:pPr>
      <w:r>
        <w:rPr>
          <w:rFonts w:eastAsia="georgia" w:cs="georgia" w:ascii="georgia" w:hAnsi="georgia"/>
          <w:color w:val="000000"/>
        </w:rPr>
        <w:t xml:space="preserve">Endogenous IGF‑1 circulates largely bound to IGFBPs, which restrict its free fraction and modulate its half‑life.[web:240][web:245][web:249] IGF‑1 LR3’s modified structure greatly reduces IGFBP affinity, allowing a larger proportion of peptide to remain unbound and bioavailable in research models. Reports describe a markedly extended functional half‑life compared with native IGF‑1, enabling less frequent dosing and more prolonged IGF‑1R signalling in preclinical protocols.[web:236][web:239][web:248]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representative_research_applications"/>
      <w:r>
        <w:rPr>
          <w:rFonts w:eastAsia="georgia" w:cs="georgia" w:ascii="georgia" w:hAnsi="georgia"/>
          <w:b/>
          <w:color w:val="000000"/>
          <w:sz w:val="24"/>
        </w:rPr>
        <w:t xml:space="preserve">Representative research applications</w:t>
      </w:r>
      <w:bookmarkEnd w:id="7"/>
    </w:p>
    <w:p>
      <w:pPr>
        <w:spacing w:line="360" w:after="210" w:lineRule="auto"/>
      </w:pPr>
      <w:r>
        <w:rPr>
          <w:rFonts w:eastAsia="georgia" w:cs="georgia" w:ascii="georgia" w:hAnsi="georgia"/>
          <w:color w:val="000000"/>
        </w:rPr>
        <w:t xml:space="preserve">IGF‑1 LR3 1 mg is intended for mechanistic and exploratory work on IGF‑1R biology rather than clinical intervention. Common preclinical research themes include:</w:t>
      </w:r>
    </w:p>
    <w:p>
      <w:pPr>
        <w:numPr>
          <w:ilvl w:val="0"/>
          <w:numId w:val="2"/>
        </w:numPr>
        <w:spacing w:line="360" w:before="105" w:after="105" w:lineRule="auto"/>
      </w:pPr>
      <w:r>
        <w:rPr>
          <w:rFonts w:eastAsia="georgia" w:cs="georgia" w:ascii="georgia" w:hAnsi="georgia"/>
          <w:b/>
          <w:color w:val="000000"/>
          <w:sz w:val="21"/>
        </w:rPr>
        <w:t xml:space="preserve">Cell growth and proliferation</w:t>
      </w:r>
      <w:r>
        <w:rPr>
          <w:rFonts w:eastAsia="georgia" w:cs="georgia" w:ascii="georgia" w:hAnsi="georgia"/>
          <w:color w:val="000000"/>
          <w:sz w:val="21"/>
        </w:rPr>
        <w:t xml:space="preserve"> – studies of cell cycle progression, proliferation rates, and differentiation in muscle, connective tissue, and other cell types.[web:237][web:239][web:245]</w:t>
      </w:r>
    </w:p>
    <w:p>
      <w:pPr>
        <w:numPr>
          <w:ilvl w:val="0"/>
          <w:numId w:val="2"/>
        </w:numPr>
        <w:spacing w:line="360" w:before="105" w:after="105" w:lineRule="auto"/>
      </w:pPr>
      <w:r>
        <w:rPr>
          <w:rFonts w:eastAsia="georgia" w:cs="georgia" w:ascii="georgia" w:hAnsi="georgia"/>
          <w:b/>
          <w:color w:val="000000"/>
          <w:sz w:val="21"/>
        </w:rPr>
        <w:t xml:space="preserve">Protein synthesis and anabolic signalling</w:t>
      </w:r>
      <w:r>
        <w:rPr>
          <w:rFonts w:eastAsia="georgia" w:cs="georgia" w:ascii="georgia" w:hAnsi="georgia"/>
          <w:color w:val="000000"/>
          <w:sz w:val="21"/>
        </w:rPr>
        <w:t xml:space="preserve"> – investigation of mTOR, PI3K/Akt, and related pathways in models of muscle protein accretion and structural protein expression.[web:237][web:240][web:245]</w:t>
      </w:r>
    </w:p>
    <w:p>
      <w:pPr>
        <w:numPr>
          <w:ilvl w:val="0"/>
          <w:numId w:val="2"/>
        </w:numPr>
        <w:spacing w:line="360" w:before="105" w:after="105" w:lineRule="auto"/>
      </w:pPr>
      <w:r>
        <w:rPr>
          <w:rFonts w:eastAsia="georgia" w:cs="georgia" w:ascii="georgia" w:hAnsi="georgia"/>
          <w:b/>
          <w:color w:val="000000"/>
          <w:sz w:val="21"/>
        </w:rPr>
        <w:t xml:space="preserve">Metabolic regulation</w:t>
      </w:r>
      <w:r>
        <w:rPr>
          <w:rFonts w:eastAsia="georgia" w:cs="georgia" w:ascii="georgia" w:hAnsi="georgia"/>
          <w:color w:val="000000"/>
          <w:sz w:val="21"/>
        </w:rPr>
        <w:t xml:space="preserve"> – analysis of IGF‑1R contributions to glucose uptake, nutrient utilisation, and energy‑metabolism signalling in cell and tissue models.[web:240][web:245][web:249]</w:t>
      </w:r>
    </w:p>
    <w:p>
      <w:pPr>
        <w:numPr>
          <w:ilvl w:val="0"/>
          <w:numId w:val="2"/>
        </w:numPr>
        <w:spacing w:line="360" w:before="105" w:after="105" w:lineRule="auto"/>
      </w:pPr>
      <w:r>
        <w:rPr>
          <w:rFonts w:eastAsia="georgia" w:cs="georgia" w:ascii="georgia" w:hAnsi="georgia"/>
          <w:b/>
          <w:color w:val="000000"/>
          <w:sz w:val="21"/>
        </w:rPr>
        <w:t xml:space="preserve">Tissue‑repair and regeneration models</w:t>
      </w:r>
      <w:r>
        <w:rPr>
          <w:rFonts w:eastAsia="georgia" w:cs="georgia" w:ascii="georgia" w:hAnsi="georgia"/>
          <w:color w:val="000000"/>
          <w:sz w:val="21"/>
        </w:rPr>
        <w:t xml:space="preserve"> – use in preclinical studies of muscle, bone, cartilage, and other tissues where growth‑factor signalling is a focus.[web:237][web:239][web:248]</w:t>
      </w:r>
    </w:p>
    <w:p>
      <w:pPr>
        <w:spacing w:line="360" w:after="210" w:lineRule="auto"/>
      </w:pPr>
      <w:r>
        <w:rPr>
          <w:rFonts w:eastAsia="georgia" w:cs="georgia" w:ascii="georgia" w:hAnsi="georgia"/>
          <w:color w:val="000000"/>
        </w:rPr>
        <w:t xml:space="preserve">All such applications remain confined to in‑vitro systems and preclinical animal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roduct_form_and_typical_specifications"/>
      <w:r>
        <w:rPr>
          <w:rFonts w:eastAsia="georgia" w:cs="georgia" w:ascii="georgia" w:hAnsi="georgia"/>
          <w:b/>
          <w:color w:val="000000"/>
          <w:sz w:val="24"/>
        </w:rPr>
        <w:t xml:space="preserve">Product form and typical specifications</w:t>
      </w:r>
      <w:bookmarkEnd w:id="8"/>
    </w:p>
    <w:p>
      <w:pPr>
        <w:numPr>
          <w:ilvl w:val="0"/>
          <w:numId w:val="3"/>
        </w:numPr>
        <w:spacing w:line="360" w:before="105" w:after="105" w:lineRule="auto"/>
      </w:pPr>
      <w:r>
        <w:rPr>
          <w:rFonts w:eastAsia="georgia" w:cs="georgia" w:ascii="georgia" w:hAnsi="georgia"/>
          <w:color w:val="000000"/>
          <w:sz w:val="21"/>
        </w:rPr>
        <w:t xml:space="preserve">Form: white to off‑white lyophilised peptide powder in sealed vials.</w:t>
      </w:r>
    </w:p>
    <w:p>
      <w:pPr>
        <w:numPr>
          <w:ilvl w:val="0"/>
          <w:numId w:val="3"/>
        </w:numPr>
        <w:spacing w:line="360" w:before="105" w:after="105" w:lineRule="auto"/>
      </w:pPr>
      <w:r>
        <w:rPr>
          <w:rFonts w:eastAsia="georgia" w:cs="georgia" w:ascii="georgia" w:hAnsi="georgia"/>
          <w:color w:val="000000"/>
          <w:sz w:val="21"/>
        </w:rPr>
        <w:t xml:space="preserve">Content: 1 mg IGF‑1 LR3 per vial (nominal).</w:t>
      </w:r>
    </w:p>
    <w:p>
      <w:pPr>
        <w:numPr>
          <w:ilvl w:val="0"/>
          <w:numId w:val="3"/>
        </w:numPr>
        <w:spacing w:line="360" w:before="105" w:after="105" w:lineRule="auto"/>
      </w:pPr>
      <w:r>
        <w:rPr>
          <w:rFonts w:eastAsia="georgia" w:cs="georgia" w:ascii="georgia" w:hAnsi="georgia"/>
          <w:color w:val="000000"/>
          <w:sz w:val="21"/>
        </w:rPr>
        <w:t xml:space="preserve">Typical purity: ≥95–98% by reversed‑phase HPLC; identity confirmed by mass spectrometry.[web:237][web:239][web:248]</w:t>
      </w:r>
    </w:p>
    <w:p>
      <w:pPr>
        <w:spacing w:line="360" w:after="210" w:lineRule="auto"/>
      </w:pPr>
      <w:r>
        <w:rPr>
          <w:rFonts w:eastAsia="georgia" w:cs="georgia" w:ascii="georgia" w:hAnsi="georgia"/>
          <w:color w:val="000000"/>
        </w:rPr>
        <w:t xml:space="preserve">No excipients or fillers are usually added unless specified on the batch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handling_reconstitution_and_storage"/>
      <w:r>
        <w:rPr>
          <w:rFonts w:eastAsia="georgia" w:cs="georgia" w:ascii="georgia" w:hAnsi="georgia"/>
          <w:b/>
          <w:color w:val="000000"/>
          <w:sz w:val="24"/>
        </w:rPr>
        <w:t xml:space="preserve">Handling, reconstitution, and storage</w:t>
      </w:r>
      <w:bookmarkEnd w:id="9"/>
    </w:p>
    <w:p>
      <w:pPr>
        <w:spacing w:line="360" w:before="315" w:after="105" w:lineRule="auto"/>
        <w:ind w:left="-30"/>
        <w:jc w:val="left"/>
      </w:pPr>
      <w:bookmarkStart w:id="10" w:name="lyophilised_peptide"/>
      <w:r>
        <w:rPr>
          <w:rFonts w:eastAsia="georgia" w:cs="georgia" w:ascii="georgia" w:hAnsi="georgia"/>
          <w:b/>
          <w:color w:val="000000"/>
          <w:sz w:val="24"/>
        </w:rPr>
        <w:t xml:space="preserve">Lyophilised peptide</w:t>
      </w:r>
      <w:bookmarkEnd w:id="10"/>
    </w:p>
    <w:p>
      <w:pPr>
        <w:numPr>
          <w:ilvl w:val="0"/>
          <w:numId w:val="4"/>
        </w:numPr>
        <w:spacing w:line="360" w:before="105" w:after="105" w:lineRule="auto"/>
      </w:pPr>
      <w:r>
        <w:rPr>
          <w:rFonts w:eastAsia="georgia" w:cs="georgia" w:ascii="georgia" w:hAnsi="georgia"/>
          <w:color w:val="000000"/>
          <w:sz w:val="21"/>
        </w:rPr>
        <w:t xml:space="preserve">Store unopened vials at −20 °C or below in a dry, dark environment.</w:t>
      </w:r>
    </w:p>
    <w:p>
      <w:pPr>
        <w:numPr>
          <w:ilvl w:val="0"/>
          <w:numId w:val="4"/>
        </w:numPr>
        <w:spacing w:line="360" w:before="105" w:after="105" w:lineRule="auto"/>
      </w:pPr>
      <w:r>
        <w:rPr>
          <w:rFonts w:eastAsia="georgia" w:cs="georgia" w:ascii="georgia" w:hAnsi="georgia"/>
          <w:color w:val="000000"/>
          <w:sz w:val="21"/>
        </w:rPr>
        <w:t xml:space="preserve">Allow vials to equilibrate to room temperature before opening to minimise condensation.</w:t>
      </w:r>
    </w:p>
    <w:p>
      <w:pPr>
        <w:numPr>
          <w:ilvl w:val="0"/>
          <w:numId w:val="4"/>
        </w:numPr>
        <w:spacing w:line="360" w:before="105" w:after="105" w:lineRule="auto"/>
      </w:pPr>
      <w:r>
        <w:rPr>
          <w:rFonts w:eastAsia="georgia" w:cs="georgia" w:ascii="georgia" w:hAnsi="georgia"/>
          <w:color w:val="000000"/>
          <w:sz w:val="21"/>
        </w:rPr>
        <w:t xml:space="preserve">Reseal promptly after use to limit exposure to ambient moisture.</w:t>
      </w:r>
    </w:p>
    <w:p>
      <w:pPr>
        <w:spacing w:line="360" w:before="315" w:after="105" w:lineRule="auto"/>
        <w:ind w:left="-30"/>
        <w:jc w:val="left"/>
      </w:pPr>
      <w:bookmarkStart w:id="11" w:name="reconstitution"/>
      <w:r>
        <w:rPr>
          <w:rFonts w:eastAsia="georgia" w:cs="georgia" w:ascii="georgia" w:hAnsi="georgia"/>
          <w:b/>
          <w:color w:val="000000"/>
          <w:sz w:val="24"/>
        </w:rPr>
        <w:t xml:space="preserve">Reconstitution</w:t>
      </w:r>
      <w:bookmarkEnd w:id="11"/>
    </w:p>
    <w:p>
      <w:pPr>
        <w:spacing w:line="360" w:after="210" w:lineRule="auto"/>
      </w:pPr>
      <w:r>
        <w:rPr>
          <w:rFonts w:eastAsia="georgia" w:cs="georgia" w:ascii="georgia" w:hAnsi="georgia"/>
          <w:color w:val="000000"/>
        </w:rPr>
        <w:t xml:space="preserve">Because IGF‑1 LR3 can exhibit limited solubility in neutral aqueous solutions, many laboratory protocols begin with a mildly acidic vehicle:[web:238][web:241][web:247]</w:t>
      </w:r>
    </w:p>
    <w:p>
      <w:pPr>
        <w:numPr>
          <w:ilvl w:val="0"/>
          <w:numId w:val="5"/>
        </w:numPr>
        <w:spacing w:line="360" w:before="105" w:after="105" w:lineRule="auto"/>
      </w:pPr>
      <w:r>
        <w:rPr>
          <w:rFonts w:eastAsia="georgia" w:cs="georgia" w:ascii="georgia" w:hAnsi="georgia"/>
          <w:color w:val="000000"/>
          <w:sz w:val="21"/>
        </w:rPr>
        <w:t xml:space="preserve">Initial solvent: a small volume of dilute acid such as 0.01–0.1 M HCl or 0.6–1% acetic acid is commonly used to aid dissolution.</w:t>
      </w:r>
    </w:p>
    <w:p>
      <w:pPr>
        <w:numPr>
          <w:ilvl w:val="0"/>
          <w:numId w:val="5"/>
        </w:numPr>
        <w:spacing w:line="360" w:before="105" w:after="105" w:lineRule="auto"/>
      </w:pPr>
      <w:r>
        <w:rPr>
          <w:rFonts w:eastAsia="georgia" w:cs="georgia" w:ascii="georgia" w:hAnsi="georgia"/>
          <w:color w:val="000000"/>
          <w:sz w:val="21"/>
        </w:rPr>
        <w:t xml:space="preserve">Secondary dilution: after complete dissolution, dilute into sterile bacteriostatic water, PBS, or culture medium to reach the desired working concentration and approximate physiological pH.</w:t>
      </w:r>
    </w:p>
    <w:p>
      <w:pPr>
        <w:numPr>
          <w:ilvl w:val="0"/>
          <w:numId w:val="5"/>
        </w:numPr>
        <w:spacing w:line="360" w:before="105" w:after="105" w:lineRule="auto"/>
      </w:pPr>
      <w:r>
        <w:rPr>
          <w:rFonts w:eastAsia="georgia" w:cs="georgia" w:ascii="georgia" w:hAnsi="georgia"/>
          <w:color w:val="000000"/>
          <w:sz w:val="21"/>
        </w:rPr>
        <w:t xml:space="preserve">Technique: add solvent slowly along the vial wall and gently swirl; avoid directing the stream onto the peptide cake or shaking vigorously.</w:t>
      </w:r>
    </w:p>
    <w:p>
      <w:pPr>
        <w:spacing w:line="360" w:before="315" w:after="105" w:lineRule="auto"/>
        <w:ind w:left="-30"/>
        <w:jc w:val="left"/>
      </w:pPr>
      <w:bookmarkStart w:id="12" w:name="reconstituted_solutions"/>
      <w:r>
        <w:rPr>
          <w:rFonts w:eastAsia="georgia" w:cs="georgia" w:ascii="georgia" w:hAnsi="georgia"/>
          <w:b/>
          <w:color w:val="000000"/>
          <w:sz w:val="24"/>
        </w:rPr>
        <w:t xml:space="preserve">Reconstituted solutions</w:t>
      </w:r>
      <w:bookmarkEnd w:id="12"/>
    </w:p>
    <w:p>
      <w:pPr>
        <w:numPr>
          <w:ilvl w:val="0"/>
          <w:numId w:val="6"/>
        </w:numPr>
        <w:spacing w:line="360" w:before="105" w:after="105" w:lineRule="auto"/>
      </w:pPr>
      <w:r>
        <w:rPr>
          <w:rFonts w:eastAsia="georgia" w:cs="georgia" w:ascii="georgia" w:hAnsi="georgia"/>
          <w:color w:val="000000"/>
          <w:sz w:val="21"/>
        </w:rPr>
        <w:t xml:space="preserve">Short‑term use: store at 2–8 °C, protected from light, and use within a limited window defined by internal stability data.</w:t>
      </w:r>
    </w:p>
    <w:p>
      <w:pPr>
        <w:numPr>
          <w:ilvl w:val="0"/>
          <w:numId w:val="6"/>
        </w:numPr>
        <w:spacing w:line="360" w:before="105" w:after="105" w:lineRule="auto"/>
      </w:pPr>
      <w:r>
        <w:rPr>
          <w:rFonts w:eastAsia="georgia" w:cs="georgia" w:ascii="georgia" w:hAnsi="georgia"/>
          <w:color w:val="000000"/>
          <w:sz w:val="21"/>
        </w:rPr>
        <w:t xml:space="preserve">Longer‑term work: aliquot into sterile tubes and freeze at −20 °C or below, avoiding repeated freeze–thaw cycles.[web:238][web:241][web:244]</w:t>
      </w:r>
    </w:p>
    <w:p>
      <w:pPr>
        <w:numPr>
          <w:ilvl w:val="0"/>
          <w:numId w:val="6"/>
        </w:numPr>
        <w:spacing w:line="360" w:before="105" w:after="105" w:lineRule="auto"/>
      </w:pPr>
      <w:r>
        <w:rPr>
          <w:rFonts w:eastAsia="georgia" w:cs="georgia" w:ascii="georgia" w:hAnsi="georgia"/>
          <w:color w:val="000000"/>
          <w:sz w:val="21"/>
        </w:rPr>
        <w:t xml:space="preserve">Consider including a carrier protein (e.g., low‑percentage BSA) in highly diluted solutions to reduce adsorption in certain assay formats.</w:t>
      </w:r>
    </w:p>
    <w:p>
      <w:pPr>
        <w:spacing w:line="360" w:after="210" w:lineRule="auto"/>
      </w:pPr>
      <w:r>
        <w:rPr>
          <w:rFonts w:eastAsia="georgia" w:cs="georgia" w:ascii="georgia" w:hAnsi="georgia"/>
          <w:color w:val="000000"/>
        </w:rPr>
        <w:t xml:space="preserve">Laboratories should validate stability and performance for their own assay conditions and follow institutional peptide‑handling SOPs.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analytical_quality_and_documentation"/>
      <w:r>
        <w:rPr>
          <w:rFonts w:eastAsia="georgia" w:cs="georgia" w:ascii="georgia" w:hAnsi="georgia"/>
          <w:b/>
          <w:color w:val="000000"/>
          <w:sz w:val="24"/>
        </w:rPr>
        <w:t xml:space="preserve">Analytical quality and documentation</w:t>
      </w:r>
      <w:bookmarkEnd w:id="13"/>
    </w:p>
    <w:p>
      <w:pPr>
        <w:spacing w:line="360" w:after="210" w:lineRule="auto"/>
      </w:pPr>
      <w:r>
        <w:rPr>
          <w:rFonts w:eastAsia="georgia" w:cs="georgia" w:ascii="georgia" w:hAnsi="georgia"/>
          <w:color w:val="000000"/>
        </w:rPr>
        <w:t xml:space="preserve">Typical quality‑control measures for research‑grade IGF‑1 LR3 include:</w:t>
      </w:r>
    </w:p>
    <w:p>
      <w:pPr>
        <w:numPr>
          <w:ilvl w:val="0"/>
          <w:numId w:val="7"/>
        </w:numPr>
        <w:spacing w:line="360" w:before="105" w:after="105" w:lineRule="auto"/>
      </w:pPr>
      <w:r>
        <w:rPr>
          <w:rFonts w:eastAsia="georgia" w:cs="georgia" w:ascii="georgia" w:hAnsi="georgia"/>
          <w:b/>
          <w:color w:val="000000"/>
          <w:sz w:val="21"/>
        </w:rPr>
        <w:t xml:space="preserve">Purity</w:t>
      </w:r>
    </w:p>
    <w:p>
      <w:pPr>
        <w:numPr>
          <w:ilvl w:val="1"/>
          <w:numId w:val="7"/>
        </w:numPr>
        <w:spacing w:line="360" w:before="105" w:after="105" w:lineRule="auto"/>
      </w:pPr>
      <w:r>
        <w:rPr>
          <w:rFonts w:eastAsia="georgia" w:cs="georgia" w:ascii="georgia" w:hAnsi="georgia"/>
          <w:color w:val="000000"/>
          <w:sz w:val="21"/>
        </w:rPr>
        <w:t xml:space="preserve">Reversed‑phase HPLC to confirm high purity, usually ≥95–98%, and to profile related species.[web:237][web:239][web:248]</w:t>
      </w:r>
    </w:p>
    <w:p>
      <w:pPr>
        <w:numPr>
          <w:ilvl w:val="0"/>
          <w:numId w:val="7"/>
        </w:numPr>
        <w:spacing w:line="360" w:before="105" w:after="105" w:lineRule="auto"/>
      </w:pPr>
      <w:r>
        <w:rPr>
          <w:rFonts w:eastAsia="georgia" w:cs="georgia" w:ascii="georgia" w:hAnsi="georgia"/>
          <w:b/>
          <w:color w:val="000000"/>
          <w:sz w:val="21"/>
        </w:rPr>
        <w:t xml:space="preserve">Identity</w:t>
      </w:r>
    </w:p>
    <w:p>
      <w:pPr>
        <w:numPr>
          <w:ilvl w:val="1"/>
          <w:numId w:val="7"/>
        </w:numPr>
        <w:spacing w:line="360" w:before="105" w:after="105" w:lineRule="auto"/>
      </w:pPr>
      <w:r>
        <w:rPr>
          <w:rFonts w:eastAsia="georgia" w:cs="georgia" w:ascii="georgia" w:hAnsi="georgia"/>
          <w:color w:val="000000"/>
          <w:sz w:val="21"/>
        </w:rPr>
        <w:t xml:space="preserve">Mass spectrometry confirming molecular weight consistent with IGF‑1 LR3.</w:t>
      </w:r>
    </w:p>
    <w:p>
      <w:pPr>
        <w:numPr>
          <w:ilvl w:val="1"/>
          <w:numId w:val="7"/>
        </w:numPr>
        <w:spacing w:line="360" w:before="105" w:after="105" w:lineRule="auto"/>
      </w:pPr>
      <w:r>
        <w:rPr>
          <w:rFonts w:eastAsia="georgia" w:cs="georgia" w:ascii="georgia" w:hAnsi="georgia"/>
          <w:color w:val="000000"/>
          <w:sz w:val="21"/>
        </w:rPr>
        <w:t xml:space="preserve">Peptide mapping or amino‑acid analysis to verify sequence and modifications.[web:236][web:240]</w:t>
      </w:r>
    </w:p>
    <w:p>
      <w:pPr>
        <w:numPr>
          <w:ilvl w:val="0"/>
          <w:numId w:val="7"/>
        </w:numPr>
        <w:spacing w:line="360" w:before="105" w:after="105" w:lineRule="auto"/>
      </w:pPr>
      <w:r>
        <w:rPr>
          <w:rFonts w:eastAsia="georgia" w:cs="georgia" w:ascii="georgia" w:hAnsi="georgia"/>
          <w:b/>
          <w:color w:val="000000"/>
          <w:sz w:val="21"/>
        </w:rPr>
        <w:t xml:space="preserve">Additional testing</w:t>
      </w:r>
    </w:p>
    <w:p>
      <w:pPr>
        <w:numPr>
          <w:ilvl w:val="1"/>
          <w:numId w:val="7"/>
        </w:numPr>
        <w:spacing w:line="360" w:before="105" w:after="105" w:lineRule="auto"/>
      </w:pPr>
      <w:r>
        <w:rPr>
          <w:rFonts w:eastAsia="georgia" w:cs="georgia" w:ascii="georgia" w:hAnsi="georgia"/>
          <w:color w:val="000000"/>
          <w:sz w:val="21"/>
        </w:rPr>
        <w:t xml:space="preserve">Water content, residual solvents, and inorganic impurities.</w:t>
      </w:r>
    </w:p>
    <w:p>
      <w:pPr>
        <w:numPr>
          <w:ilvl w:val="1"/>
          <w:numId w:val="7"/>
        </w:numPr>
        <w:spacing w:line="360" w:before="105" w:after="105" w:lineRule="auto"/>
      </w:pPr>
      <w:r>
        <w:rPr>
          <w:rFonts w:eastAsia="georgia" w:cs="georgia" w:ascii="georgia" w:hAnsi="georgia"/>
          <w:color w:val="000000"/>
          <w:sz w:val="21"/>
        </w:rPr>
        <w:t xml:space="preserve">Microbial and endotoxin testing appropriate for research‑grade peptides.[web:237][web:239]</w:t>
      </w:r>
    </w:p>
    <w:p>
      <w:pPr>
        <w:spacing w:line="360" w:after="210" w:lineRule="auto"/>
      </w:pPr>
      <w:r>
        <w:rPr>
          <w:rFonts w:eastAsia="georgia" w:cs="georgia" w:ascii="georgia" w:hAnsi="georgia"/>
          <w:color w:val="000000"/>
        </w:rPr>
        <w:t xml:space="preserve">Batch‑specific Certificates of Analysis (COAs) summarise methods, specifications, and results and should be reviewed before use in critical studies.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search_use_only_and_safety_notice"/>
      <w:r>
        <w:rPr>
          <w:rFonts w:eastAsia="georgia" w:cs="georgia" w:ascii="georgia" w:hAnsi="georgia"/>
          <w:b/>
          <w:color w:val="000000"/>
          <w:sz w:val="24"/>
        </w:rPr>
        <w:t xml:space="preserve">Research‑use‑only and safety notice</w:t>
      </w:r>
      <w:bookmarkEnd w:id="14"/>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IGF‑1 LR3 1 mg is provided solely as a research peptide for in‑vitro assays and preclinical animal models conducted under appropriate institutional oversight. It is not manufactured, tested, or approved as a drug, cosmetic ingredient, or dietary product and must not be used for diagnosis, treatment, or prevention of any disease.[web:237][web:239][web:248]</w:t>
      </w:r>
    </w:p>
    <w:p>
      <w:pPr>
        <w:spacing w:line="360" w:after="210" w:lineRule="auto"/>
        <w:ind w:left="630"/>
      </w:pPr>
      <w:r>
        <w:rPr>
          <w:rFonts w:eastAsia="georgia" w:cs="georgia" w:ascii="georgia" w:hAnsi="georgia"/>
          <w:color w:val="000000"/>
        </w:rPr>
        <w:t xml:space="preserve">This material must not be administered to humans or animals outside properly reviewed research protocols. All handling should comply with local regulations, institutional biosafety guidance, and good laboratory practice, including appropriate personal protective equipment and disposal of peptide‑containing materials as laboratory chemical/biological waste.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2026-04-30T12:44:54.757Z</dcterms:created>
  <dcterms:modified xsi:type="dcterms:W3CDTF">2026-04-30T12:44:54.757Z</dcterms:modified>
</cp:coreProperties>
</file>