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pamorelin_10_mg_selective_growth_d48ec7"/>
      <w:r>
        <w:rPr>
          <w:rFonts w:eastAsia="georgia" w:cs="georgia" w:ascii="georgia" w:hAnsi="georgia"/>
          <w:b/>
          <w:color w:val="000000"/>
          <w:sz w:val="39"/>
        </w:rPr>
        <w:t xml:space="preserve">Ipamorelin (10 mg) – Selective Growth Hormone Secretagogue (GHSR Agonist)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Ipamorelin is a synthetic pentapeptide designed as a highly selective growth hormone secretagogue that targets the ghrelin (GHSR‑1a) receptor in laboratory models.[conversation_history:1] In contrast to earlier growth hormone–releasing peptides (GHRPs) such as GHRP‑2 and GHRP‑6, ipamorelin was engineered to stimulate robust growth hormone (GH) release while minimizing activation of other pituitary axes, including ACTH/cortisol and prolactin pathways.[conversation_history:1]</w:t>
      </w:r>
    </w:p>
    <w:p>
      <w:pPr>
        <w:spacing w:line="360" w:after="210" w:lineRule="auto"/>
      </w:pPr>
      <w:r>
        <w:rPr>
          <w:rFonts w:eastAsia="georgia" w:cs="georgia" w:ascii="georgia" w:hAnsi="georgia"/>
          <w:color w:val="000000"/>
        </w:rPr>
        <w:t xml:space="preserve">Because of this selectivity profile, ipamorelin has become a widely used research tool for studying GH secretion dynamics, ghrelin‑receptor pharmacology, and downstream metabolic and tissue‑repair pathways in controlled experimental systems.[conversation_history:1] This description is intended for research‑focused e‑commerce use and is not a guide for clinical or non‑laboratory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Ipamorelin (10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GH secretagogue (GHSR‑1a agonist, pentapeptide)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98% by RP‑HPLC (research‑grade)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to −80 °C,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Solubility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Water, bacteriostatic water, phosphate‑buffered saline (PBS)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170851‑70‑4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9831659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peptide_specifications"/>
      <w:r>
        <w:rPr>
          <w:rFonts w:eastAsia="georgia" w:cs="georgia" w:ascii="georgia" w:hAnsi="georgia"/>
          <w:b/>
          <w:color w:val="000000"/>
          <w:sz w:val="24"/>
        </w:rPr>
        <w:t xml:space="preserve">Identity and peptide specifications</w:t>
      </w:r>
      <w:bookmarkEnd w:id="3"/>
    </w:p>
    <w:p>
      <w:pPr>
        <w:spacing w:line="360" w:after="210" w:lineRule="auto"/>
      </w:pPr>
      <w:r>
        <w:rPr>
          <w:rFonts w:eastAsia="georgia" w:cs="georgia" w:ascii="georgia" w:hAnsi="georgia"/>
          <w:color w:val="000000"/>
        </w:rPr>
        <w:t xml:space="preserve">Ipamorelin is a compact five–amino acid peptide that incorporates several synthetic and D‑amino acid residues to increase stability and receptor selectivity.[conversation_history:1]</w:t>
      </w:r>
    </w:p>
    <w:p>
      <w:pPr>
        <w:spacing w:line="360" w:after="210" w:lineRule="auto"/>
      </w:pPr>
      <w:r>
        <w:rPr>
          <w:rFonts w:eastAsia="georgia" w:cs="georgia" w:ascii="georgia" w:hAnsi="georgia"/>
          <w:b/>
          <w:color w:val="000000"/>
        </w:rPr>
        <w:t xml:space="preserve">Core specifications</w:t>
      </w:r>
    </w:p>
    <w:p>
      <w:pPr>
        <w:numPr>
          <w:ilvl w:val="0"/>
          <w:numId w:val="1"/>
        </w:numPr>
        <w:spacing w:line="360" w:before="105" w:after="105" w:lineRule="auto"/>
      </w:pPr>
      <w:r>
        <w:rPr>
          <w:rFonts w:eastAsia="georgia" w:cs="georgia" w:ascii="georgia" w:hAnsi="georgia"/>
          <w:color w:val="000000"/>
          <w:sz w:val="21"/>
        </w:rPr>
        <w:t xml:space="preserve">Peptide name: Ipamorelin</w:t>
      </w:r>
    </w:p>
    <w:p>
      <w:pPr>
        <w:numPr>
          <w:ilvl w:val="0"/>
          <w:numId w:val="1"/>
        </w:numPr>
        <w:spacing w:line="360" w:before="105" w:after="105" w:lineRule="auto"/>
      </w:pPr>
      <w:r>
        <w:rPr>
          <w:rFonts w:eastAsia="georgia" w:cs="georgia" w:ascii="georgia" w:hAnsi="georgia"/>
          <w:color w:val="000000"/>
          <w:sz w:val="21"/>
        </w:rPr>
        <w:t xml:space="preserve">Peptide classification: Synthetic growth hormone secretagogue, GHSR‑1a agonist</w:t>
      </w:r>
    </w:p>
    <w:p>
      <w:pPr>
        <w:numPr>
          <w:ilvl w:val="0"/>
          <w:numId w:val="1"/>
        </w:numPr>
        <w:spacing w:line="360" w:before="105" w:after="105" w:lineRule="auto"/>
      </w:pPr>
      <w:r>
        <w:rPr>
          <w:rFonts w:eastAsia="georgia" w:cs="georgia" w:ascii="georgia" w:hAnsi="georgia"/>
          <w:color w:val="000000"/>
          <w:sz w:val="21"/>
        </w:rPr>
        <w:t xml:space="preserve">Sequence length: 5 amino acids (pentapeptide)</w:t>
      </w:r>
    </w:p>
    <w:p>
      <w:pPr>
        <w:numPr>
          <w:ilvl w:val="0"/>
          <w:numId w:val="1"/>
        </w:numPr>
        <w:spacing w:line="360" w:before="105" w:after="105" w:lineRule="auto"/>
      </w:pPr>
      <w:r>
        <w:rPr>
          <w:rFonts w:eastAsia="georgia" w:cs="georgia" w:ascii="georgia" w:hAnsi="georgia"/>
          <w:color w:val="000000"/>
          <w:sz w:val="21"/>
        </w:rPr>
        <w:t xml:space="preserve">Sequence (short form): Aib‑His‑D‑2‑Nal‑D‑Phe‑Lys‑NH₂[conversation_history:1]</w:t>
      </w:r>
    </w:p>
    <w:p>
      <w:pPr>
        <w:numPr>
          <w:ilvl w:val="0"/>
          <w:numId w:val="1"/>
        </w:numPr>
        <w:spacing w:line="360" w:before="105" w:after="105" w:lineRule="auto"/>
      </w:pPr>
      <w:r>
        <w:rPr>
          <w:rFonts w:eastAsia="georgia" w:cs="georgia" w:ascii="georgia" w:hAnsi="georgia"/>
          <w:color w:val="000000"/>
          <w:sz w:val="21"/>
        </w:rPr>
        <w:t xml:space="preserve">Molecular formula: C₃₈H₄₉N₉O₅[conversation_history:1]</w:t>
      </w:r>
    </w:p>
    <w:p>
      <w:pPr>
        <w:numPr>
          <w:ilvl w:val="0"/>
          <w:numId w:val="1"/>
        </w:numPr>
        <w:spacing w:line="360" w:before="105" w:after="105" w:lineRule="auto"/>
      </w:pPr>
      <w:r>
        <w:rPr>
          <w:rFonts w:eastAsia="georgia" w:cs="georgia" w:ascii="georgia" w:hAnsi="georgia"/>
          <w:color w:val="000000"/>
          <w:sz w:val="21"/>
        </w:rPr>
        <w:t xml:space="preserve">Approximate molecular weight: ~711.9 g/mol[conversation_history:1]</w:t>
      </w:r>
    </w:p>
    <w:p>
      <w:pPr>
        <w:numPr>
          <w:ilvl w:val="0"/>
          <w:numId w:val="1"/>
        </w:numPr>
        <w:spacing w:line="360" w:before="105" w:after="105" w:lineRule="auto"/>
      </w:pPr>
      <w:r>
        <w:rPr>
          <w:rFonts w:eastAsia="georgia" w:cs="georgia" w:ascii="georgia" w:hAnsi="georgia"/>
          <w:color w:val="000000"/>
          <w:sz w:val="21"/>
        </w:rPr>
        <w:t xml:space="preserve">CAS Registry Number: 170851‑70‑4[conversation_history:1]</w:t>
      </w:r>
    </w:p>
    <w:p>
      <w:pPr>
        <w:numPr>
          <w:ilvl w:val="0"/>
          <w:numId w:val="1"/>
        </w:numPr>
        <w:spacing w:line="360" w:before="105" w:after="105" w:lineRule="auto"/>
      </w:pPr>
      <w:r>
        <w:rPr>
          <w:rFonts w:eastAsia="georgia" w:cs="georgia" w:ascii="georgia" w:hAnsi="georgia"/>
          <w:color w:val="000000"/>
          <w:sz w:val="21"/>
        </w:rPr>
        <w:t xml:space="preserve">PubChem CID: 9831659[conversation_history:1]</w:t>
      </w:r>
    </w:p>
    <w:p>
      <w:pPr>
        <w:numPr>
          <w:ilvl w:val="0"/>
          <w:numId w:val="1"/>
        </w:numPr>
        <w:spacing w:line="360" w:before="105" w:after="105" w:lineRule="auto"/>
      </w:pPr>
      <w:r>
        <w:rPr>
          <w:rFonts w:eastAsia="georgia" w:cs="georgia" w:ascii="georgia" w:hAnsi="georgia"/>
          <w:color w:val="000000"/>
          <w:sz w:val="21"/>
        </w:rPr>
        <w:t xml:space="preserve">Synonyms: Ipamorelin [INN], NNC‑26‑0161, UNII‑Y9M3S784Z6[conversation_history:1]</w:t>
      </w:r>
    </w:p>
    <w:p>
      <w:pPr>
        <w:spacing w:line="360" w:after="210" w:lineRule="auto"/>
      </w:pPr>
      <w:r>
        <w:rPr>
          <w:rFonts w:eastAsia="georgia" w:cs="georgia" w:ascii="georgia" w:hAnsi="georgia"/>
          <w:color w:val="000000"/>
        </w:rPr>
        <w:t xml:space="preserve">Key structural features include:</w:t>
      </w:r>
    </w:p>
    <w:p>
      <w:pPr>
        <w:numPr>
          <w:ilvl w:val="0"/>
          <w:numId w:val="2"/>
        </w:numPr>
        <w:spacing w:line="360" w:before="105" w:after="105" w:lineRule="auto"/>
      </w:pPr>
      <w:r>
        <w:rPr>
          <w:rFonts w:eastAsia="georgia" w:cs="georgia" w:ascii="georgia" w:hAnsi="georgia"/>
          <w:b/>
          <w:color w:val="000000"/>
          <w:sz w:val="21"/>
        </w:rPr>
        <w:t xml:space="preserve">Aminoisobutyric acid (Aib) at position 1</w:t>
      </w:r>
      <w:r>
        <w:rPr>
          <w:rFonts w:eastAsia="georgia" w:cs="georgia" w:ascii="georgia" w:hAnsi="georgia"/>
          <w:color w:val="000000"/>
          <w:sz w:val="21"/>
        </w:rPr>
        <w:t xml:space="preserve"> – enhances resistance to aminopeptidase cleavage and improves N‑terminal stability.[conversation_history:1]</w:t>
      </w:r>
    </w:p>
    <w:p>
      <w:pPr>
        <w:numPr>
          <w:ilvl w:val="0"/>
          <w:numId w:val="2"/>
        </w:numPr>
        <w:spacing w:line="360" w:before="105" w:after="105" w:lineRule="auto"/>
      </w:pPr>
      <w:r>
        <w:rPr>
          <w:rFonts w:eastAsia="georgia" w:cs="georgia" w:ascii="georgia" w:hAnsi="georgia"/>
          <w:b/>
          <w:color w:val="000000"/>
          <w:sz w:val="21"/>
        </w:rPr>
        <w:t xml:space="preserve">D‑2‑naphthylalanine (D‑2‑Nal) and D‑phenylalanine (D‑Phe) at positions 3 and 4</w:t>
      </w:r>
      <w:r>
        <w:rPr>
          <w:rFonts w:eastAsia="georgia" w:cs="georgia" w:ascii="georgia" w:hAnsi="georgia"/>
          <w:color w:val="000000"/>
          <w:sz w:val="21"/>
        </w:rPr>
        <w:t xml:space="preserve"> – provide protease resistance and help define the peptide’s receptor‑binding profile.[conversation_history:1]</w:t>
      </w:r>
    </w:p>
    <w:p>
      <w:pPr>
        <w:numPr>
          <w:ilvl w:val="0"/>
          <w:numId w:val="2"/>
        </w:numPr>
        <w:spacing w:line="360" w:before="105" w:after="105" w:lineRule="auto"/>
      </w:pPr>
      <w:r>
        <w:rPr>
          <w:rFonts w:eastAsia="georgia" w:cs="georgia" w:ascii="georgia" w:hAnsi="georgia"/>
          <w:b/>
          <w:color w:val="000000"/>
          <w:sz w:val="21"/>
        </w:rPr>
        <w:t xml:space="preserve">C‑terminal lysine amide (Lys‑NH₂)</w:t>
      </w:r>
      <w:r>
        <w:rPr>
          <w:rFonts w:eastAsia="georgia" w:cs="georgia" w:ascii="georgia" w:hAnsi="georgia"/>
          <w:color w:val="000000"/>
          <w:sz w:val="21"/>
        </w:rPr>
        <w:t xml:space="preserve"> – prevents C‑terminal degradation by carboxypeptidases and supports overall metabolic stability.[conversation_history:1]</w:t>
      </w:r>
    </w:p>
    <w:p>
      <w:pPr>
        <w:spacing w:line="360" w:after="210" w:lineRule="auto"/>
      </w:pPr>
      <w:r>
        <w:rPr>
          <w:rFonts w:eastAsia="georgia" w:cs="georgia" w:ascii="georgia" w:hAnsi="georgia"/>
          <w:color w:val="000000"/>
        </w:rPr>
        <w:t xml:space="preserve">These modifications contribute to ipamorelin’s ability to selectively activate GHSR‑1a with minimal off‑target hormonal effects in research settings.[conversation_history:1]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position_within_the_ghrp_family"/>
      <w:r>
        <w:rPr>
          <w:rFonts w:eastAsia="georgia" w:cs="georgia" w:ascii="georgia" w:hAnsi="georgia"/>
          <w:b/>
          <w:color w:val="000000"/>
          <w:sz w:val="24"/>
        </w:rPr>
        <w:t xml:space="preserve">Position within the GHRP family</w:t>
      </w:r>
      <w:bookmarkEnd w:id="5"/>
    </w:p>
    <w:p>
      <w:pPr>
        <w:spacing w:line="360" w:after="210" w:lineRule="auto"/>
      </w:pPr>
      <w:r>
        <w:rPr>
          <w:rFonts w:eastAsia="georgia" w:cs="georgia" w:ascii="georgia" w:hAnsi="georgia"/>
          <w:color w:val="000000"/>
        </w:rPr>
        <w:t xml:space="preserve">Ipamorelin is often described as a later‑generation or “third‑generation” growth hormone–releasing peptide, building on earlier compounds like GHRP‑6, GHRP‑2, and hexarelin.[conversation_history:1]</w:t>
      </w:r>
    </w:p>
    <w:p>
      <w:pPr>
        <w:spacing w:line="360" w:after="210" w:lineRule="auto"/>
      </w:pPr>
      <w:r>
        <w:rPr>
          <w:rFonts w:eastAsia="georgia" w:cs="georgia" w:ascii="georgia" w:hAnsi="georgia"/>
          <w:color w:val="000000"/>
        </w:rPr>
        <w:t xml:space="preserve">Compared to these predecessors, ipamorelin was developed to:</w:t>
      </w:r>
    </w:p>
    <w:p>
      <w:pPr>
        <w:numPr>
          <w:ilvl w:val="0"/>
          <w:numId w:val="3"/>
        </w:numPr>
        <w:spacing w:line="360" w:before="105" w:after="105" w:lineRule="auto"/>
      </w:pPr>
      <w:r>
        <w:rPr>
          <w:rFonts w:eastAsia="georgia" w:cs="georgia" w:ascii="georgia" w:hAnsi="georgia"/>
          <w:color w:val="000000"/>
          <w:sz w:val="21"/>
        </w:rPr>
        <w:t xml:space="preserve">Maintain strong GH‑releasing potency via ghrelin‑receptor activation.</w:t>
      </w:r>
    </w:p>
    <w:p>
      <w:pPr>
        <w:numPr>
          <w:ilvl w:val="0"/>
          <w:numId w:val="3"/>
        </w:numPr>
        <w:spacing w:line="360" w:before="105" w:after="105" w:lineRule="auto"/>
      </w:pPr>
      <w:r>
        <w:rPr>
          <w:rFonts w:eastAsia="georgia" w:cs="georgia" w:ascii="georgia" w:hAnsi="georgia"/>
          <w:color w:val="000000"/>
          <w:sz w:val="21"/>
        </w:rPr>
        <w:t xml:space="preserve">Reduce or avoid stimulation of ACTH, cortisol, and prolactin at doses that release GH.[conversation_history:1]</w:t>
      </w:r>
    </w:p>
    <w:p>
      <w:pPr>
        <w:numPr>
          <w:ilvl w:val="0"/>
          <w:numId w:val="3"/>
        </w:numPr>
        <w:spacing w:line="360" w:before="105" w:after="105" w:lineRule="auto"/>
      </w:pPr>
      <w:r>
        <w:rPr>
          <w:rFonts w:eastAsia="georgia" w:cs="georgia" w:ascii="georgia" w:hAnsi="georgia"/>
          <w:color w:val="000000"/>
          <w:sz w:val="21"/>
        </w:rPr>
        <w:t xml:space="preserve">Limit ghrelin‑like appetite stimulation seen with some earlier secretagogues.</w:t>
      </w:r>
    </w:p>
    <w:p>
      <w:pPr>
        <w:spacing w:line="360" w:after="210" w:lineRule="auto"/>
      </w:pPr>
      <w:r>
        <w:rPr>
          <w:rFonts w:eastAsia="georgia" w:cs="georgia" w:ascii="georgia" w:hAnsi="georgia"/>
          <w:color w:val="000000"/>
        </w:rPr>
        <w:t xml:space="preserve">This design makes ipamorelin particularly useful when researchers want to isolate GH‑specific effects without additional confounding hormonal changes.[conversation_history:1]</w:t>
      </w:r>
    </w:p>
    <w:p>
      <w:pPr>
        <w:spacing w:line="360" w:before="315" w:after="105" w:lineRule="auto"/>
        <w:ind w:left="-30"/>
        <w:jc w:val="left"/>
      </w:pPr>
      <w:bookmarkStart w:id="6" w:name="ghrelin_receptor_ghsr_1a_agonism"/>
      <w:r>
        <w:rPr>
          <w:rFonts w:eastAsia="georgia" w:cs="georgia" w:ascii="georgia" w:hAnsi="georgia"/>
          <w:b/>
          <w:color w:val="000000"/>
          <w:sz w:val="24"/>
        </w:rPr>
        <w:t xml:space="preserve">Ghrelin receptor (GHSR‑1a) agonism</w:t>
      </w:r>
      <w:bookmarkEnd w:id="6"/>
    </w:p>
    <w:p>
      <w:pPr>
        <w:spacing w:line="360" w:after="210" w:lineRule="auto"/>
      </w:pPr>
      <w:r>
        <w:rPr>
          <w:rFonts w:eastAsia="georgia" w:cs="georgia" w:ascii="georgia" w:hAnsi="georgia"/>
          <w:color w:val="000000"/>
        </w:rPr>
        <w:t xml:space="preserve">Ipamorelin acts at the ghrelin/growth hormone secretagogue receptor (GHSR‑1a), which is expressed primarily on pituitary somatotroph cells and in various central and peripheral tissues.[conversation_history:1]</w:t>
      </w:r>
    </w:p>
    <w:p>
      <w:pPr>
        <w:spacing w:line="360" w:after="210" w:lineRule="auto"/>
      </w:pPr>
      <w:r>
        <w:rPr>
          <w:rFonts w:eastAsia="georgia" w:cs="georgia" w:ascii="georgia" w:hAnsi="georgia"/>
          <w:color w:val="000000"/>
        </w:rPr>
        <w:t xml:space="preserve">Laboratory studies use ipamorelin to explore:</w:t>
      </w:r>
    </w:p>
    <w:p>
      <w:pPr>
        <w:numPr>
          <w:ilvl w:val="0"/>
          <w:numId w:val="4"/>
        </w:numPr>
        <w:spacing w:line="360" w:before="105" w:after="105" w:lineRule="auto"/>
      </w:pPr>
      <w:r>
        <w:rPr>
          <w:rFonts w:eastAsia="georgia" w:cs="georgia" w:ascii="georgia" w:hAnsi="georgia"/>
          <w:color w:val="000000"/>
          <w:sz w:val="21"/>
        </w:rPr>
        <w:t xml:space="preserve">GHSR‑1a binding kinetics and receptor‑activation profiles.</w:t>
      </w:r>
    </w:p>
    <w:p>
      <w:pPr>
        <w:numPr>
          <w:ilvl w:val="0"/>
          <w:numId w:val="4"/>
        </w:numPr>
        <w:spacing w:line="360" w:before="105" w:after="105" w:lineRule="auto"/>
      </w:pPr>
      <w:r>
        <w:rPr>
          <w:rFonts w:eastAsia="georgia" w:cs="georgia" w:ascii="georgia" w:hAnsi="georgia"/>
          <w:color w:val="000000"/>
          <w:sz w:val="21"/>
        </w:rPr>
        <w:t xml:space="preserve">Intracellular signaling cascades downstream of GHSR‑1a in pituitary and extra‑pituitary cells.</w:t>
      </w:r>
    </w:p>
    <w:p>
      <w:pPr>
        <w:numPr>
          <w:ilvl w:val="0"/>
          <w:numId w:val="4"/>
        </w:numPr>
        <w:spacing w:line="360" w:before="105" w:after="105" w:lineRule="auto"/>
      </w:pPr>
      <w:r>
        <w:rPr>
          <w:rFonts w:eastAsia="georgia" w:cs="georgia" w:ascii="georgia" w:hAnsi="georgia"/>
          <w:color w:val="000000"/>
          <w:sz w:val="21"/>
        </w:rPr>
        <w:t xml:space="preserve">Differences between “natural” ghrelin responses and selective peptide agonists with modified structures.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harmacokinetic_and_gh_release_profile"/>
      <w:r>
        <w:rPr>
          <w:rFonts w:eastAsia="georgia" w:cs="georgia" w:ascii="georgia" w:hAnsi="georgia"/>
          <w:b/>
          <w:color w:val="000000"/>
          <w:sz w:val="24"/>
        </w:rPr>
        <w:t xml:space="preserve">Pharmacokinetic and GH‑release profile</w:t>
      </w:r>
      <w:bookmarkEnd w:id="7"/>
    </w:p>
    <w:p>
      <w:pPr>
        <w:spacing w:line="360" w:before="315" w:after="105" w:lineRule="auto"/>
        <w:ind w:left="-30"/>
        <w:jc w:val="left"/>
      </w:pPr>
      <w:bookmarkStart w:id="8" w:name="absorption_and_half_life"/>
      <w:r>
        <w:rPr>
          <w:rFonts w:eastAsia="georgia" w:cs="georgia" w:ascii="georgia" w:hAnsi="georgia"/>
          <w:b/>
          <w:color w:val="000000"/>
          <w:sz w:val="24"/>
        </w:rPr>
        <w:t xml:space="preserve">Absorption and half‑life</w:t>
      </w:r>
      <w:bookmarkEnd w:id="8"/>
    </w:p>
    <w:p>
      <w:pPr>
        <w:spacing w:line="360" w:after="210" w:lineRule="auto"/>
      </w:pPr>
      <w:r>
        <w:rPr>
          <w:rFonts w:eastAsia="georgia" w:cs="georgia" w:ascii="georgia" w:hAnsi="georgia"/>
          <w:color w:val="000000"/>
        </w:rPr>
        <w:t xml:space="preserve">Preclinical work indicates that ipamorelin has:</w:t>
      </w:r>
    </w:p>
    <w:p>
      <w:pPr>
        <w:numPr>
          <w:ilvl w:val="0"/>
          <w:numId w:val="5"/>
        </w:numPr>
        <w:spacing w:line="360" w:before="105" w:after="105" w:lineRule="auto"/>
      </w:pPr>
      <w:r>
        <w:rPr>
          <w:rFonts w:eastAsia="georgia" w:cs="georgia" w:ascii="georgia" w:hAnsi="georgia"/>
          <w:color w:val="000000"/>
          <w:sz w:val="21"/>
        </w:rPr>
        <w:t xml:space="preserve">A plasma half‑life on the order of about 2 hours after intravenous or subcutaneous administration in animal models.[conversation_history:1]</w:t>
      </w:r>
    </w:p>
    <w:p>
      <w:pPr>
        <w:numPr>
          <w:ilvl w:val="0"/>
          <w:numId w:val="5"/>
        </w:numPr>
        <w:spacing w:line="360" w:before="105" w:after="105" w:lineRule="auto"/>
      </w:pPr>
      <w:r>
        <w:rPr>
          <w:rFonts w:eastAsia="georgia" w:cs="georgia" w:ascii="georgia" w:hAnsi="georgia"/>
          <w:color w:val="000000"/>
          <w:sz w:val="21"/>
        </w:rPr>
        <w:t xml:space="preserve">Rapid absorption following subcutaneous dosing, suitable for repeated GH‑pulse induction.</w:t>
      </w:r>
    </w:p>
    <w:p>
      <w:pPr>
        <w:numPr>
          <w:ilvl w:val="0"/>
          <w:numId w:val="5"/>
        </w:numPr>
        <w:spacing w:line="360" w:before="105" w:after="105" w:lineRule="auto"/>
      </w:pPr>
      <w:r>
        <w:rPr>
          <w:rFonts w:eastAsia="georgia" w:cs="georgia" w:ascii="georgia" w:hAnsi="georgia"/>
          <w:color w:val="000000"/>
          <w:sz w:val="21"/>
        </w:rPr>
        <w:t xml:space="preserve">Sufficient duration of action to generate discrete GH peaks while allowing baseline recovery between doses.[conversation_history:1]</w:t>
      </w:r>
    </w:p>
    <w:p>
      <w:pPr>
        <w:spacing w:line="360" w:before="315" w:after="105" w:lineRule="auto"/>
        <w:ind w:left="-30"/>
        <w:jc w:val="left"/>
      </w:pPr>
      <w:bookmarkStart w:id="9" w:name="growth_hormone_stimulation_dynamics"/>
      <w:r>
        <w:rPr>
          <w:rFonts w:eastAsia="georgia" w:cs="georgia" w:ascii="georgia" w:hAnsi="georgia"/>
          <w:b/>
          <w:color w:val="000000"/>
          <w:sz w:val="24"/>
        </w:rPr>
        <w:t xml:space="preserve">Growth hormone stimulation dynamics</w:t>
      </w:r>
      <w:bookmarkEnd w:id="9"/>
    </w:p>
    <w:p>
      <w:pPr>
        <w:spacing w:line="360" w:after="210" w:lineRule="auto"/>
      </w:pPr>
      <w:r>
        <w:rPr>
          <w:rFonts w:eastAsia="georgia" w:cs="georgia" w:ascii="georgia" w:hAnsi="georgia"/>
          <w:color w:val="000000"/>
        </w:rPr>
        <w:t xml:space="preserve">Ipamorelin’s GH‑release profile in research models is characterized by:</w:t>
      </w:r>
    </w:p>
    <w:p>
      <w:pPr>
        <w:numPr>
          <w:ilvl w:val="0"/>
          <w:numId w:val="6"/>
        </w:numPr>
        <w:spacing w:line="360" w:before="105" w:after="105" w:lineRule="auto"/>
      </w:pPr>
      <w:r>
        <w:rPr>
          <w:rFonts w:eastAsia="georgia" w:cs="georgia" w:ascii="georgia" w:hAnsi="georgia"/>
          <w:color w:val="000000"/>
          <w:sz w:val="21"/>
        </w:rPr>
        <w:t xml:space="preserve">Rapid onset of GH release, with peaks often observed within 30–45 minutes of administration.[conversation_history:1]</w:t>
      </w:r>
    </w:p>
    <w:p>
      <w:pPr>
        <w:numPr>
          <w:ilvl w:val="0"/>
          <w:numId w:val="6"/>
        </w:numPr>
        <w:spacing w:line="360" w:before="105" w:after="105" w:lineRule="auto"/>
      </w:pPr>
      <w:r>
        <w:rPr>
          <w:rFonts w:eastAsia="georgia" w:cs="georgia" w:ascii="georgia" w:hAnsi="georgia"/>
          <w:color w:val="000000"/>
          <w:sz w:val="21"/>
        </w:rPr>
        <w:t xml:space="preserve">A dose‑dependent GH response, enabling detailed dose–response curve studies.</w:t>
      </w:r>
    </w:p>
    <w:p>
      <w:pPr>
        <w:numPr>
          <w:ilvl w:val="0"/>
          <w:numId w:val="6"/>
        </w:numPr>
        <w:spacing w:line="360" w:before="105" w:after="105" w:lineRule="auto"/>
      </w:pPr>
      <w:r>
        <w:rPr>
          <w:rFonts w:eastAsia="georgia" w:cs="georgia" w:ascii="georgia" w:hAnsi="georgia"/>
          <w:color w:val="000000"/>
          <w:sz w:val="21"/>
        </w:rPr>
        <w:t xml:space="preserve">2–3 hours of elevated GH before returning toward baseline, supporting pulsatile stimulation designs.[conversation_history:1]</w:t>
      </w:r>
    </w:p>
    <w:p>
      <w:pPr>
        <w:spacing w:line="360" w:before="315" w:after="105" w:lineRule="auto"/>
        <w:ind w:left="-30"/>
        <w:jc w:val="left"/>
      </w:pPr>
      <w:bookmarkStart w:id="10" w:name="selectivity_versus_other_pituitar_29f5b7"/>
      <w:r>
        <w:rPr>
          <w:rFonts w:eastAsia="georgia" w:cs="georgia" w:ascii="georgia" w:hAnsi="georgia"/>
          <w:b/>
          <w:color w:val="000000"/>
          <w:sz w:val="24"/>
        </w:rPr>
        <w:t xml:space="preserve">Selectivity versus other pituitary hormones</w:t>
      </w:r>
      <w:bookmarkEnd w:id="10"/>
    </w:p>
    <w:p>
      <w:pPr>
        <w:spacing w:line="360" w:after="210" w:lineRule="auto"/>
      </w:pPr>
      <w:r>
        <w:rPr>
          <w:rFonts w:eastAsia="georgia" w:cs="georgia" w:ascii="georgia" w:hAnsi="georgia"/>
          <w:color w:val="000000"/>
        </w:rPr>
        <w:t xml:space="preserve">A key feature of ipamorelin is its selective effect on GH release:</w:t>
      </w:r>
    </w:p>
    <w:p>
      <w:pPr>
        <w:numPr>
          <w:ilvl w:val="0"/>
          <w:numId w:val="7"/>
        </w:numPr>
        <w:spacing w:line="360" w:before="105" w:after="105" w:lineRule="auto"/>
      </w:pPr>
      <w:r>
        <w:rPr>
          <w:rFonts w:eastAsia="georgia" w:cs="georgia" w:ascii="georgia" w:hAnsi="georgia"/>
          <w:color w:val="000000"/>
          <w:sz w:val="21"/>
        </w:rPr>
        <w:t xml:space="preserve">Minimal or no stimulation of ACTH and cortisol at GH‑releasing doses in many models.[conversation_history:1]</w:t>
      </w:r>
    </w:p>
    <w:p>
      <w:pPr>
        <w:numPr>
          <w:ilvl w:val="0"/>
          <w:numId w:val="7"/>
        </w:numPr>
        <w:spacing w:line="360" w:before="105" w:after="105" w:lineRule="auto"/>
      </w:pPr>
      <w:r>
        <w:rPr>
          <w:rFonts w:eastAsia="georgia" w:cs="georgia" w:ascii="georgia" w:hAnsi="georgia"/>
          <w:color w:val="000000"/>
          <w:sz w:val="21"/>
        </w:rPr>
        <w:t xml:space="preserve">No significant effects on prolactin, TSH, FSH, or LH in controlled studies at typical research doses.[conversation_history:1]</w:t>
      </w:r>
    </w:p>
    <w:p>
      <w:pPr>
        <w:numPr>
          <w:ilvl w:val="0"/>
          <w:numId w:val="7"/>
        </w:numPr>
        <w:spacing w:line="360" w:before="105" w:after="105" w:lineRule="auto"/>
      </w:pPr>
      <w:r>
        <w:rPr>
          <w:rFonts w:eastAsia="georgia" w:cs="georgia" w:ascii="georgia" w:hAnsi="georgia"/>
          <w:color w:val="000000"/>
          <w:sz w:val="21"/>
        </w:rPr>
        <w:t xml:space="preserve">Limited appetite stimulation compared with more ghrelin‑like secretagogues.</w:t>
      </w:r>
    </w:p>
    <w:p>
      <w:pPr>
        <w:spacing w:line="360" w:after="210" w:lineRule="auto"/>
      </w:pPr>
      <w:r>
        <w:rPr>
          <w:rFonts w:eastAsia="georgia" w:cs="georgia" w:ascii="georgia" w:hAnsi="georgia"/>
          <w:color w:val="000000"/>
        </w:rPr>
        <w:t xml:space="preserve">This selectivity underpins its use as a “clean” GH secretagogue in mechanistic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extended_research_themes"/>
      <w:r>
        <w:rPr>
          <w:rFonts w:eastAsia="georgia" w:cs="georgia" w:ascii="georgia" w:hAnsi="georgia"/>
          <w:b/>
          <w:color w:val="000000"/>
          <w:sz w:val="24"/>
        </w:rPr>
        <w:t xml:space="preserve">Extended research themes</w:t>
      </w:r>
      <w:bookmarkEnd w:id="11"/>
    </w:p>
    <w:p>
      <w:pPr>
        <w:spacing w:line="360" w:before="315" w:after="105" w:lineRule="auto"/>
        <w:ind w:left="-30"/>
        <w:jc w:val="left"/>
      </w:pPr>
      <w:bookmarkStart w:id="12" w:name="bm_1_selective_gh_secretion_and_g_aa26de"/>
      <w:r>
        <w:rPr>
          <w:rFonts w:eastAsia="georgia" w:cs="georgia" w:ascii="georgia" w:hAnsi="georgia"/>
          <w:b/>
          <w:color w:val="000000"/>
          <w:sz w:val="24"/>
        </w:rPr>
        <w:t xml:space="preserve">1. Selective GH secretion and GHSR pharmacology</w:t>
      </w:r>
      <w:bookmarkEnd w:id="12"/>
    </w:p>
    <w:p>
      <w:pPr>
        <w:spacing w:line="360" w:after="210" w:lineRule="auto"/>
      </w:pPr>
      <w:r>
        <w:rPr>
          <w:rFonts w:eastAsia="georgia" w:cs="georgia" w:ascii="georgia" w:hAnsi="georgia"/>
          <w:color w:val="000000"/>
        </w:rPr>
        <w:t xml:space="preserve">Ipamorelin is frequently used as a reference compound for selective GH secretagogue behavior.</w:t>
      </w:r>
    </w:p>
    <w:p>
      <w:pPr>
        <w:spacing w:line="360" w:after="210" w:lineRule="auto"/>
      </w:pPr>
      <w:r>
        <w:rPr>
          <w:rFonts w:eastAsia="georgia" w:cs="georgia" w:ascii="georgia" w:hAnsi="georgia"/>
          <w:color w:val="000000"/>
        </w:rPr>
        <w:t xml:space="preserve">Research questions include:</w:t>
      </w:r>
    </w:p>
    <w:p>
      <w:pPr>
        <w:numPr>
          <w:ilvl w:val="0"/>
          <w:numId w:val="8"/>
        </w:numPr>
        <w:spacing w:line="360" w:before="105" w:after="105" w:lineRule="auto"/>
      </w:pPr>
      <w:r>
        <w:rPr>
          <w:rFonts w:eastAsia="georgia" w:cs="georgia" w:ascii="georgia" w:hAnsi="georgia"/>
          <w:color w:val="000000"/>
          <w:sz w:val="21"/>
        </w:rPr>
        <w:t xml:space="preserve">How GHSR‑1a activation by ipamorelin compares to endogenous ghrelin or to other GHRPs in terms of potency and selectivity.[conversation_history:1]</w:t>
      </w:r>
    </w:p>
    <w:p>
      <w:pPr>
        <w:numPr>
          <w:ilvl w:val="0"/>
          <w:numId w:val="8"/>
        </w:numPr>
        <w:spacing w:line="360" w:before="105" w:after="105" w:lineRule="auto"/>
      </w:pPr>
      <w:r>
        <w:rPr>
          <w:rFonts w:eastAsia="georgia" w:cs="georgia" w:ascii="georgia" w:hAnsi="georgia"/>
          <w:color w:val="000000"/>
          <w:sz w:val="21"/>
        </w:rPr>
        <w:t xml:space="preserve">How GH pulse amplitude, frequency, and pattern are altered under repeated ipamorelin exposure.</w:t>
      </w:r>
    </w:p>
    <w:p>
      <w:pPr>
        <w:numPr>
          <w:ilvl w:val="0"/>
          <w:numId w:val="8"/>
        </w:numPr>
        <w:spacing w:line="360" w:before="105" w:after="105" w:lineRule="auto"/>
      </w:pPr>
      <w:r>
        <w:rPr>
          <w:rFonts w:eastAsia="georgia" w:cs="georgia" w:ascii="georgia" w:hAnsi="georgia"/>
          <w:color w:val="000000"/>
          <w:sz w:val="21"/>
        </w:rPr>
        <w:t xml:space="preserve">Which intracellular pathways (for example, G‑protein and second‑messenger systems) are most critical for its selective GH‑releasing profile.</w:t>
      </w:r>
    </w:p>
    <w:p>
      <w:pPr>
        <w:spacing w:line="360" w:after="210" w:lineRule="auto"/>
      </w:pPr>
      <w:r>
        <w:rPr>
          <w:rFonts w:eastAsia="georgia" w:cs="georgia" w:ascii="georgia" w:hAnsi="georgia"/>
          <w:color w:val="000000"/>
        </w:rPr>
        <w:t xml:space="preserve">Experimental systems range from pituitary cell cultures and ex‑vivo pituitary slices to in‑vivo animal models with serial GH sampling.[conversation_history:1]</w:t>
      </w:r>
    </w:p>
    <w:p>
      <w:pPr>
        <w:spacing w:line="360" w:before="315" w:after="105" w:lineRule="auto"/>
        <w:ind w:left="-30"/>
        <w:jc w:val="left"/>
      </w:pPr>
      <w:bookmarkStart w:id="13" w:name="bm_2_synergy_with_ghrh_analogs"/>
      <w:r>
        <w:rPr>
          <w:rFonts w:eastAsia="georgia" w:cs="georgia" w:ascii="georgia" w:hAnsi="georgia"/>
          <w:b/>
          <w:color w:val="000000"/>
          <w:sz w:val="24"/>
        </w:rPr>
        <w:t xml:space="preserve">2. Synergy with GHRH analogs</w:t>
      </w:r>
      <w:bookmarkEnd w:id="13"/>
    </w:p>
    <w:p>
      <w:pPr>
        <w:spacing w:line="360" w:after="210" w:lineRule="auto"/>
      </w:pPr>
      <w:r>
        <w:rPr>
          <w:rFonts w:eastAsia="georgia" w:cs="georgia" w:ascii="georgia" w:hAnsi="georgia"/>
          <w:color w:val="000000"/>
        </w:rPr>
        <w:t xml:space="preserve">Because ipamorelin acts at GHSR‑1a while GHRH analogs act at the GHRH receptor, many experiments combine both to study synergistic GH release.[conversation_history:1]</w:t>
      </w:r>
    </w:p>
    <w:p>
      <w:pPr>
        <w:spacing w:line="360" w:after="210" w:lineRule="auto"/>
      </w:pPr>
      <w:r>
        <w:rPr>
          <w:rFonts w:eastAsia="georgia" w:cs="georgia" w:ascii="georgia" w:hAnsi="georgia"/>
          <w:color w:val="000000"/>
        </w:rPr>
        <w:t xml:space="preserve">Typical research themes:</w:t>
      </w:r>
    </w:p>
    <w:p>
      <w:pPr>
        <w:numPr>
          <w:ilvl w:val="0"/>
          <w:numId w:val="9"/>
        </w:numPr>
        <w:spacing w:line="360" w:before="105" w:after="105" w:lineRule="auto"/>
      </w:pPr>
      <w:r>
        <w:rPr>
          <w:rFonts w:eastAsia="georgia" w:cs="georgia" w:ascii="georgia" w:hAnsi="georgia"/>
          <w:color w:val="000000"/>
          <w:sz w:val="21"/>
        </w:rPr>
        <w:t xml:space="preserve">Comparing GH output from GHRH analogs alone, ipamorelin alone, and the combination.</w:t>
      </w:r>
    </w:p>
    <w:p>
      <w:pPr>
        <w:numPr>
          <w:ilvl w:val="0"/>
          <w:numId w:val="9"/>
        </w:numPr>
        <w:spacing w:line="360" w:before="105" w:after="105" w:lineRule="auto"/>
      </w:pPr>
      <w:r>
        <w:rPr>
          <w:rFonts w:eastAsia="georgia" w:cs="georgia" w:ascii="georgia" w:hAnsi="georgia"/>
          <w:color w:val="000000"/>
          <w:sz w:val="21"/>
        </w:rPr>
        <w:t xml:space="preserve">Investigating timing effects (for example, simultaneous vs. staggered administration) on GH pulse magnitude.</w:t>
      </w:r>
    </w:p>
    <w:p>
      <w:pPr>
        <w:numPr>
          <w:ilvl w:val="0"/>
          <w:numId w:val="9"/>
        </w:numPr>
        <w:spacing w:line="360" w:before="105" w:after="105" w:lineRule="auto"/>
      </w:pPr>
      <w:r>
        <w:rPr>
          <w:rFonts w:eastAsia="georgia" w:cs="georgia" w:ascii="georgia" w:hAnsi="georgia"/>
          <w:color w:val="000000"/>
          <w:sz w:val="21"/>
        </w:rPr>
        <w:t xml:space="preserve">Mapping intracellular pathway convergence when both receptors are activated, including somatostatin suppression and somatotroph responsiveness.</w:t>
      </w:r>
    </w:p>
    <w:p>
      <w:pPr>
        <w:spacing w:line="360" w:after="210" w:lineRule="auto"/>
      </w:pPr>
      <w:r>
        <w:rPr>
          <w:rFonts w:eastAsia="georgia" w:cs="georgia" w:ascii="georgia" w:hAnsi="georgia"/>
          <w:color w:val="000000"/>
        </w:rPr>
        <w:t xml:space="preserve">These experiments often involve analogs such as sermorelin, modified GRF(1‑29), or CJC‑1295 in combination with ipamorelin.[conversation_history:1]</w:t>
      </w:r>
    </w:p>
    <w:p>
      <w:pPr>
        <w:spacing w:line="360" w:before="315" w:after="105" w:lineRule="auto"/>
        <w:ind w:left="-30"/>
        <w:jc w:val="left"/>
      </w:pPr>
      <w:bookmarkStart w:id="14" w:name="bm_3_bone_and_skeletal_research"/>
      <w:r>
        <w:rPr>
          <w:rFonts w:eastAsia="georgia" w:cs="georgia" w:ascii="georgia" w:hAnsi="georgia"/>
          <w:b/>
          <w:color w:val="000000"/>
          <w:sz w:val="24"/>
        </w:rPr>
        <w:t xml:space="preserve">3. Bone and skeletal research</w:t>
      </w:r>
      <w:bookmarkEnd w:id="14"/>
    </w:p>
    <w:p>
      <w:pPr>
        <w:spacing w:line="360" w:after="210" w:lineRule="auto"/>
      </w:pPr>
      <w:r>
        <w:rPr>
          <w:rFonts w:eastAsia="georgia" w:cs="georgia" w:ascii="georgia" w:hAnsi="georgia"/>
          <w:color w:val="000000"/>
        </w:rPr>
        <w:t xml:space="preserve">Preclinical studies have examined ipamorelin in bone‑related models, particularly in the context of glucocorticoid‑induced bone loss.[conversation_history:1]</w:t>
      </w:r>
    </w:p>
    <w:p>
      <w:pPr>
        <w:spacing w:line="360" w:after="210" w:lineRule="auto"/>
      </w:pPr>
      <w:r>
        <w:rPr>
          <w:rFonts w:eastAsia="georgia" w:cs="georgia" w:ascii="georgia" w:hAnsi="georgia"/>
          <w:color w:val="000000"/>
        </w:rPr>
        <w:t xml:space="preserve">Reported areas of focus include:</w:t>
      </w:r>
    </w:p>
    <w:p>
      <w:pPr>
        <w:numPr>
          <w:ilvl w:val="0"/>
          <w:numId w:val="10"/>
        </w:numPr>
        <w:spacing w:line="360" w:before="105" w:after="105" w:lineRule="auto"/>
      </w:pPr>
      <w:r>
        <w:rPr>
          <w:rFonts w:eastAsia="georgia" w:cs="georgia" w:ascii="georgia" w:hAnsi="georgia"/>
          <w:color w:val="000000"/>
          <w:sz w:val="21"/>
        </w:rPr>
        <w:t xml:space="preserve">Effects on bone mineral content and bone mineral density measured by imaging in rodent models.[conversation_history:1]</w:t>
      </w:r>
    </w:p>
    <w:p>
      <w:pPr>
        <w:numPr>
          <w:ilvl w:val="0"/>
          <w:numId w:val="10"/>
        </w:numPr>
        <w:spacing w:line="360" w:before="105" w:after="105" w:lineRule="auto"/>
      </w:pPr>
      <w:r>
        <w:rPr>
          <w:rFonts w:eastAsia="georgia" w:cs="georgia" w:ascii="georgia" w:hAnsi="georgia"/>
          <w:color w:val="000000"/>
          <w:sz w:val="21"/>
        </w:rPr>
        <w:t xml:space="preserve">Influence on periosteal bone formation and cortical bone dimensions.</w:t>
      </w:r>
    </w:p>
    <w:p>
      <w:pPr>
        <w:numPr>
          <w:ilvl w:val="0"/>
          <w:numId w:val="10"/>
        </w:numPr>
        <w:spacing w:line="360" w:before="105" w:after="105" w:lineRule="auto"/>
      </w:pPr>
      <w:r>
        <w:rPr>
          <w:rFonts w:eastAsia="georgia" w:cs="georgia" w:ascii="georgia" w:hAnsi="georgia"/>
          <w:color w:val="000000"/>
          <w:sz w:val="21"/>
        </w:rPr>
        <w:t xml:space="preserve">Ability to counteract or reduce glucocorticoid‑related suppression of bone formation and structure.</w:t>
      </w:r>
    </w:p>
    <w:p>
      <w:pPr>
        <w:spacing w:line="360" w:after="210" w:lineRule="auto"/>
      </w:pPr>
      <w:r>
        <w:rPr>
          <w:rFonts w:eastAsia="georgia" w:cs="georgia" w:ascii="georgia" w:hAnsi="georgia"/>
          <w:color w:val="000000"/>
        </w:rPr>
        <w:t xml:space="preserve">These studies typically link ipamorelin’s GH‑axis activation to improved bone formation and remodeling markers.</w:t>
      </w:r>
    </w:p>
    <w:p>
      <w:pPr>
        <w:spacing w:line="360" w:before="315" w:after="105" w:lineRule="auto"/>
        <w:ind w:left="-30"/>
        <w:jc w:val="left"/>
      </w:pPr>
      <w:bookmarkStart w:id="15" w:name="bm_4_muscle_nitrogen_balance_and_2a7e92"/>
      <w:r>
        <w:rPr>
          <w:rFonts w:eastAsia="georgia" w:cs="georgia" w:ascii="georgia" w:hAnsi="georgia"/>
          <w:b/>
          <w:color w:val="000000"/>
          <w:sz w:val="24"/>
        </w:rPr>
        <w:t xml:space="preserve">4. Muscle, nitrogen balance, and body composition</w:t>
      </w:r>
      <w:bookmarkEnd w:id="15"/>
    </w:p>
    <w:p>
      <w:pPr>
        <w:spacing w:line="360" w:after="210" w:lineRule="auto"/>
      </w:pPr>
      <w:r>
        <w:rPr>
          <w:rFonts w:eastAsia="georgia" w:cs="georgia" w:ascii="georgia" w:hAnsi="georgia"/>
          <w:color w:val="000000"/>
        </w:rPr>
        <w:t xml:space="preserve">Ipamorelin has also been studied in relation to muscle and whole‑body protein metabolism.</w:t>
      </w:r>
    </w:p>
    <w:p>
      <w:pPr>
        <w:spacing w:line="360" w:after="210" w:lineRule="auto"/>
      </w:pPr>
      <w:r>
        <w:rPr>
          <w:rFonts w:eastAsia="georgia" w:cs="georgia" w:ascii="georgia" w:hAnsi="georgia"/>
          <w:color w:val="000000"/>
        </w:rPr>
        <w:t xml:space="preserve">Research questions include:</w:t>
      </w:r>
    </w:p>
    <w:p>
      <w:pPr>
        <w:numPr>
          <w:ilvl w:val="0"/>
          <w:numId w:val="11"/>
        </w:numPr>
        <w:spacing w:line="360" w:before="105" w:after="105" w:lineRule="auto"/>
      </w:pPr>
      <w:r>
        <w:rPr>
          <w:rFonts w:eastAsia="georgia" w:cs="georgia" w:ascii="georgia" w:hAnsi="georgia"/>
          <w:color w:val="000000"/>
          <w:sz w:val="21"/>
        </w:rPr>
        <w:t xml:space="preserve">Whether GH secretion triggered by ipamorelin can improve nitrogen balance and reduce muscle catabolism in steroid‑treated models.[conversation_history:1]</w:t>
      </w:r>
    </w:p>
    <w:p>
      <w:pPr>
        <w:numPr>
          <w:ilvl w:val="0"/>
          <w:numId w:val="11"/>
        </w:numPr>
        <w:spacing w:line="360" w:before="105" w:after="105" w:lineRule="auto"/>
      </w:pPr>
      <w:r>
        <w:rPr>
          <w:rFonts w:eastAsia="georgia" w:cs="georgia" w:ascii="georgia" w:hAnsi="georgia"/>
          <w:color w:val="000000"/>
          <w:sz w:val="21"/>
        </w:rPr>
        <w:t xml:space="preserve">How lean mass, muscle fiber characteristics, and strength measures respond to repeated ipamorelin exposure.</w:t>
      </w:r>
    </w:p>
    <w:p>
      <w:pPr>
        <w:numPr>
          <w:ilvl w:val="0"/>
          <w:numId w:val="11"/>
        </w:numPr>
        <w:spacing w:line="360" w:before="105" w:after="105" w:lineRule="auto"/>
      </w:pPr>
      <w:r>
        <w:rPr>
          <w:rFonts w:eastAsia="georgia" w:cs="georgia" w:ascii="georgia" w:hAnsi="georgia"/>
          <w:color w:val="000000"/>
          <w:sz w:val="21"/>
        </w:rPr>
        <w:t xml:space="preserve">Interactions between GH‑axis activity and glucocorticoid‑induced muscle wasting.</w:t>
      </w:r>
    </w:p>
    <w:p>
      <w:pPr>
        <w:spacing w:line="360" w:after="210" w:lineRule="auto"/>
      </w:pPr>
      <w:r>
        <w:rPr>
          <w:rFonts w:eastAsia="georgia" w:cs="georgia" w:ascii="georgia" w:hAnsi="georgia"/>
          <w:color w:val="000000"/>
        </w:rPr>
        <w:t xml:space="preserve">These experiments may combine body‑composition analysis, nitrogen‑balance measurements, and tissue histology.[conversation_history:1]</w:t>
      </w:r>
    </w:p>
    <w:p>
      <w:pPr>
        <w:spacing w:line="360" w:before="315" w:after="105" w:lineRule="auto"/>
        <w:ind w:left="-30"/>
        <w:jc w:val="left"/>
      </w:pPr>
      <w:bookmarkStart w:id="16" w:name="bm_5_metabolic_and_glucose_regula_447f50"/>
      <w:r>
        <w:rPr>
          <w:rFonts w:eastAsia="georgia" w:cs="georgia" w:ascii="georgia" w:hAnsi="georgia"/>
          <w:b/>
          <w:color w:val="000000"/>
          <w:sz w:val="24"/>
        </w:rPr>
        <w:t xml:space="preserve">5. Metabolic and glucose‑regulation studies</w:t>
      </w:r>
      <w:bookmarkEnd w:id="16"/>
    </w:p>
    <w:p>
      <w:pPr>
        <w:spacing w:line="360" w:after="210" w:lineRule="auto"/>
      </w:pPr>
      <w:r>
        <w:rPr>
          <w:rFonts w:eastAsia="georgia" w:cs="georgia" w:ascii="georgia" w:hAnsi="georgia"/>
          <w:color w:val="000000"/>
        </w:rPr>
        <w:t xml:space="preserve">Because GH influences glucose and lipid metabolism, ipamorelin is used to explore metabolic pathways:[conversation_history:1]</w:t>
      </w:r>
    </w:p>
    <w:p>
      <w:pPr>
        <w:numPr>
          <w:ilvl w:val="0"/>
          <w:numId w:val="12"/>
        </w:numPr>
        <w:spacing w:line="360" w:before="105" w:after="105" w:lineRule="auto"/>
      </w:pPr>
      <w:r>
        <w:rPr>
          <w:rFonts w:eastAsia="georgia" w:cs="georgia" w:ascii="georgia" w:hAnsi="georgia"/>
          <w:color w:val="000000"/>
          <w:sz w:val="21"/>
        </w:rPr>
        <w:t xml:space="preserve">Effects on lipolysis and free fatty acid mobilization from adipose tissue.</w:t>
      </w:r>
    </w:p>
    <w:p>
      <w:pPr>
        <w:numPr>
          <w:ilvl w:val="0"/>
          <w:numId w:val="12"/>
        </w:numPr>
        <w:spacing w:line="360" w:before="105" w:after="105" w:lineRule="auto"/>
      </w:pPr>
      <w:r>
        <w:rPr>
          <w:rFonts w:eastAsia="georgia" w:cs="georgia" w:ascii="georgia" w:hAnsi="georgia"/>
          <w:color w:val="000000"/>
          <w:sz w:val="21"/>
        </w:rPr>
        <w:t xml:space="preserve">Changes in glucose tolerance, insulin sensitivity, hepatic glucose output, and related markers.[conversation_history:1]</w:t>
      </w:r>
    </w:p>
    <w:p>
      <w:pPr>
        <w:numPr>
          <w:ilvl w:val="0"/>
          <w:numId w:val="12"/>
        </w:numPr>
        <w:spacing w:line="360" w:before="105" w:after="105" w:lineRule="auto"/>
      </w:pPr>
      <w:r>
        <w:rPr>
          <w:rFonts w:eastAsia="georgia" w:cs="georgia" w:ascii="georgia" w:hAnsi="georgia"/>
          <w:color w:val="000000"/>
          <w:sz w:val="21"/>
        </w:rPr>
        <w:t xml:space="preserve">Potential interactions with pancreatic islet function and insulin secretion in animal models.</w:t>
      </w:r>
    </w:p>
    <w:p>
      <w:pPr>
        <w:spacing w:line="360" w:after="210" w:lineRule="auto"/>
      </w:pPr>
      <w:r>
        <w:rPr>
          <w:rFonts w:eastAsia="georgia" w:cs="georgia" w:ascii="georgia" w:hAnsi="georgia"/>
          <w:color w:val="000000"/>
        </w:rPr>
        <w:t xml:space="preserve">These studies help clarify how selective GH secretagogue stimulation shapes metabolic outcomes.</w:t>
      </w:r>
    </w:p>
    <w:p>
      <w:pPr>
        <w:spacing w:line="360" w:before="315" w:after="105" w:lineRule="auto"/>
        <w:ind w:left="-30"/>
        <w:jc w:val="left"/>
      </w:pPr>
      <w:bookmarkStart w:id="17" w:name="bm_6_gastrointestinal_motility_an_61f98a"/>
      <w:r>
        <w:rPr>
          <w:rFonts w:eastAsia="georgia" w:cs="georgia" w:ascii="georgia" w:hAnsi="georgia"/>
          <w:b/>
          <w:color w:val="000000"/>
          <w:sz w:val="24"/>
        </w:rPr>
        <w:t xml:space="preserve">6. Gastrointestinal motility and postoperative ileus models</w:t>
      </w:r>
      <w:bookmarkEnd w:id="17"/>
    </w:p>
    <w:p>
      <w:pPr>
        <w:spacing w:line="360" w:after="210" w:lineRule="auto"/>
      </w:pPr>
      <w:r>
        <w:rPr>
          <w:rFonts w:eastAsia="georgia" w:cs="georgia" w:ascii="georgia" w:hAnsi="georgia"/>
          <w:color w:val="000000"/>
        </w:rPr>
        <w:t xml:space="preserve">Ipamorelin’s ghrelin‑receptor activity has prompted research in gastrointestinal (GI) motility and postoperative ileus (POI).</w:t>
      </w:r>
    </w:p>
    <w:p>
      <w:pPr>
        <w:spacing w:line="360" w:after="210" w:lineRule="auto"/>
      </w:pPr>
      <w:r>
        <w:rPr>
          <w:rFonts w:eastAsia="georgia" w:cs="georgia" w:ascii="georgia" w:hAnsi="georgia"/>
          <w:color w:val="000000"/>
        </w:rPr>
        <w:t xml:space="preserve">Research themes include:</w:t>
      </w:r>
    </w:p>
    <w:p>
      <w:pPr>
        <w:numPr>
          <w:ilvl w:val="0"/>
          <w:numId w:val="13"/>
        </w:numPr>
        <w:spacing w:line="360" w:before="105" w:after="105" w:lineRule="auto"/>
      </w:pPr>
      <w:r>
        <w:rPr>
          <w:rFonts w:eastAsia="georgia" w:cs="georgia" w:ascii="georgia" w:hAnsi="georgia"/>
          <w:color w:val="000000"/>
          <w:sz w:val="21"/>
        </w:rPr>
        <w:t xml:space="preserve">Effects on gastric emptying and intestinal transit in rodent POI models, often using radiolabeled meal tracking.[conversation_history:1]</w:t>
      </w:r>
    </w:p>
    <w:p>
      <w:pPr>
        <w:numPr>
          <w:ilvl w:val="0"/>
          <w:numId w:val="13"/>
        </w:numPr>
        <w:spacing w:line="360" w:before="105" w:after="105" w:lineRule="auto"/>
      </w:pPr>
      <w:r>
        <w:rPr>
          <w:rFonts w:eastAsia="georgia" w:cs="georgia" w:ascii="georgia" w:hAnsi="georgia"/>
          <w:color w:val="000000"/>
          <w:sz w:val="21"/>
        </w:rPr>
        <w:t xml:space="preserve">Contractile responses in gastric smooth‑muscle and enteric neuron preparations.</w:t>
      </w:r>
    </w:p>
    <w:p>
      <w:pPr>
        <w:numPr>
          <w:ilvl w:val="0"/>
          <w:numId w:val="13"/>
        </w:numPr>
        <w:spacing w:line="360" w:before="105" w:after="105" w:lineRule="auto"/>
      </w:pPr>
      <w:r>
        <w:rPr>
          <w:rFonts w:eastAsia="georgia" w:cs="georgia" w:ascii="georgia" w:hAnsi="georgia"/>
          <w:color w:val="000000"/>
          <w:sz w:val="21"/>
        </w:rPr>
        <w:t xml:space="preserve">Proof‑of‑concept clinical research evaluating time to first meal and GI recovery after surgery.[conversation_history:1]</w:t>
      </w:r>
    </w:p>
    <w:p>
      <w:pPr>
        <w:spacing w:line="360" w:after="210" w:lineRule="auto"/>
      </w:pPr>
      <w:r>
        <w:rPr>
          <w:rFonts w:eastAsia="georgia" w:cs="georgia" w:ascii="georgia" w:hAnsi="georgia"/>
          <w:color w:val="000000"/>
        </w:rPr>
        <w:t xml:space="preserve">These studies aim to understand ghrelin‑receptor–mediated effects on GI function, even though development programs for POI were not ultimately pursued commercially.</w:t>
      </w:r>
    </w:p>
    <w:p>
      <w:pPr>
        <w:spacing w:line="360" w:before="315" w:after="105" w:lineRule="auto"/>
        <w:ind w:left="-30"/>
        <w:jc w:val="left"/>
      </w:pPr>
      <w:bookmarkStart w:id="18" w:name="bm_7_ghrelin_receptor_imaging_and_878376"/>
      <w:r>
        <w:rPr>
          <w:rFonts w:eastAsia="georgia" w:cs="georgia" w:ascii="georgia" w:hAnsi="georgia"/>
          <w:b/>
          <w:color w:val="000000"/>
          <w:sz w:val="24"/>
        </w:rPr>
        <w:t xml:space="preserve">7. Ghrelin receptor imaging and probe development</w:t>
      </w:r>
      <w:bookmarkEnd w:id="18"/>
    </w:p>
    <w:p>
      <w:pPr>
        <w:spacing w:line="360" w:after="210" w:lineRule="auto"/>
      </w:pPr>
      <w:r>
        <w:rPr>
          <w:rFonts w:eastAsia="georgia" w:cs="georgia" w:ascii="georgia" w:hAnsi="georgia"/>
          <w:color w:val="000000"/>
        </w:rPr>
        <w:t xml:space="preserve">More recent work explores ipamorelin derivatives as potential molecular probes for imaging the ghrelin receptor.</w:t>
      </w:r>
    </w:p>
    <w:p>
      <w:pPr>
        <w:spacing w:line="360" w:after="210" w:lineRule="auto"/>
      </w:pPr>
      <w:r>
        <w:rPr>
          <w:rFonts w:eastAsia="georgia" w:cs="georgia" w:ascii="georgia" w:hAnsi="georgia"/>
          <w:color w:val="000000"/>
        </w:rPr>
        <w:t xml:space="preserve">Research questions include:</w:t>
      </w:r>
    </w:p>
    <w:p>
      <w:pPr>
        <w:numPr>
          <w:ilvl w:val="0"/>
          <w:numId w:val="14"/>
        </w:numPr>
        <w:spacing w:line="360" w:before="105" w:after="105" w:lineRule="auto"/>
      </w:pPr>
      <w:r>
        <w:rPr>
          <w:rFonts w:eastAsia="georgia" w:cs="georgia" w:ascii="georgia" w:hAnsi="georgia"/>
          <w:color w:val="000000"/>
          <w:sz w:val="21"/>
        </w:rPr>
        <w:t xml:space="preserve">How peptidomimetic ipamorelin‑like structures can be adapted for positron emission tomography (PET) imaging of GHSR‑expressing tissues.[conversation_history:1]</w:t>
      </w:r>
    </w:p>
    <w:p>
      <w:pPr>
        <w:numPr>
          <w:ilvl w:val="0"/>
          <w:numId w:val="14"/>
        </w:numPr>
        <w:spacing w:line="360" w:before="105" w:after="105" w:lineRule="auto"/>
      </w:pPr>
      <w:r>
        <w:rPr>
          <w:rFonts w:eastAsia="georgia" w:cs="georgia" w:ascii="georgia" w:hAnsi="georgia"/>
          <w:color w:val="000000"/>
          <w:sz w:val="21"/>
        </w:rPr>
        <w:t xml:space="preserve">Whether ghrelin‑receptor upregulation in certain tumors or heart‑failure models can be visualized using radiolabeled derivatives.[conversation_history:1]</w:t>
      </w:r>
    </w:p>
    <w:p>
      <w:pPr>
        <w:spacing w:line="360" w:after="210" w:lineRule="auto"/>
      </w:pPr>
      <w:r>
        <w:rPr>
          <w:rFonts w:eastAsia="georgia" w:cs="georgia" w:ascii="georgia" w:hAnsi="georgia"/>
          <w:color w:val="000000"/>
        </w:rPr>
        <w:t xml:space="preserve">These studies are early‑stage but highlight ipamorelin’s value as a scaffold for receptor‑targeted imaging agents.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laboratory_handling_reconstitutio_798a56"/>
      <w:r>
        <w:rPr>
          <w:rFonts w:eastAsia="georgia" w:cs="georgia" w:ascii="georgia" w:hAnsi="georgia"/>
          <w:b/>
          <w:color w:val="000000"/>
          <w:sz w:val="24"/>
        </w:rPr>
        <w:t xml:space="preserve">Laboratory handling, reconstitution, and storage</w:t>
      </w:r>
      <w:bookmarkEnd w:id="19"/>
    </w:p>
    <w:p>
      <w:pPr>
        <w:spacing w:line="360" w:before="315" w:after="105" w:lineRule="auto"/>
        <w:ind w:left="-30"/>
        <w:jc w:val="left"/>
      </w:pPr>
      <w:bookmarkStart w:id="20" w:name="lyophilized_peptide_storage"/>
      <w:r>
        <w:rPr>
          <w:rFonts w:eastAsia="georgia" w:cs="georgia" w:ascii="georgia" w:hAnsi="georgia"/>
          <w:b/>
          <w:color w:val="000000"/>
          <w:sz w:val="24"/>
        </w:rPr>
        <w:t xml:space="preserve">Lyophilized peptide storage</w:t>
      </w:r>
      <w:bookmarkEnd w:id="20"/>
    </w:p>
    <w:p>
      <w:pPr>
        <w:numPr>
          <w:ilvl w:val="0"/>
          <w:numId w:val="15"/>
        </w:numPr>
        <w:spacing w:line="360" w:before="105" w:after="105" w:lineRule="auto"/>
      </w:pPr>
      <w:r>
        <w:rPr>
          <w:rFonts w:eastAsia="georgia" w:cs="georgia" w:ascii="georgia" w:hAnsi="georgia"/>
          <w:color w:val="000000"/>
          <w:sz w:val="21"/>
        </w:rPr>
        <w:t xml:space="preserve">Store ipamorelin vials at −20 °C to −80 °C in their original, tightly sealed containers.[conversation_history:1]</w:t>
      </w:r>
    </w:p>
    <w:p>
      <w:pPr>
        <w:numPr>
          <w:ilvl w:val="0"/>
          <w:numId w:val="15"/>
        </w:numPr>
        <w:spacing w:line="360" w:before="105" w:after="105" w:lineRule="auto"/>
      </w:pPr>
      <w:r>
        <w:rPr>
          <w:rFonts w:eastAsia="georgia" w:cs="georgia" w:ascii="georgia" w:hAnsi="georgia"/>
          <w:color w:val="000000"/>
          <w:sz w:val="21"/>
        </w:rPr>
        <w:t xml:space="preserve">Protect from light and moisture; desiccated storage is recommended.</w:t>
      </w:r>
    </w:p>
    <w:p>
      <w:pPr>
        <w:numPr>
          <w:ilvl w:val="0"/>
          <w:numId w:val="15"/>
        </w:numPr>
        <w:spacing w:line="360" w:before="105" w:after="105" w:lineRule="auto"/>
      </w:pPr>
      <w:r>
        <w:rPr>
          <w:rFonts w:eastAsia="georgia" w:cs="georgia" w:ascii="georgia" w:hAnsi="georgia"/>
          <w:color w:val="000000"/>
          <w:sz w:val="21"/>
        </w:rPr>
        <w:t xml:space="preserve">Minimize repeated transitions between cold storage and room temperature.</w:t>
      </w:r>
    </w:p>
    <w:p>
      <w:pPr>
        <w:spacing w:line="360" w:before="315" w:after="105" w:lineRule="auto"/>
        <w:ind w:left="-30"/>
        <w:jc w:val="left"/>
      </w:pPr>
      <w:bookmarkStart w:id="21" w:name="reconstitution"/>
      <w:r>
        <w:rPr>
          <w:rFonts w:eastAsia="georgia" w:cs="georgia" w:ascii="georgia" w:hAnsi="georgia"/>
          <w:b/>
          <w:color w:val="000000"/>
          <w:sz w:val="24"/>
        </w:rPr>
        <w:t xml:space="preserve">Reconstitution</w:t>
      </w:r>
      <w:bookmarkEnd w:id="21"/>
    </w:p>
    <w:p>
      <w:pPr>
        <w:numPr>
          <w:ilvl w:val="0"/>
          <w:numId w:val="16"/>
        </w:numPr>
        <w:spacing w:line="360" w:before="105" w:after="105" w:lineRule="auto"/>
      </w:pPr>
      <w:r>
        <w:rPr>
          <w:rFonts w:eastAsia="georgia" w:cs="georgia" w:ascii="georgia" w:hAnsi="georgia"/>
          <w:color w:val="000000"/>
          <w:sz w:val="21"/>
        </w:rPr>
        <w:t xml:space="preserve">Reconstitute using sterile water, bacteriostatic water (for example, 0.9% benzyl alcohol), or an appropriate sterile buffer such as PBS, chosen to match the intended experimental system.[conversation_history:1]</w:t>
      </w:r>
    </w:p>
    <w:p>
      <w:pPr>
        <w:numPr>
          <w:ilvl w:val="0"/>
          <w:numId w:val="16"/>
        </w:numPr>
        <w:spacing w:line="360" w:before="105" w:after="105" w:lineRule="auto"/>
      </w:pPr>
      <w:r>
        <w:rPr>
          <w:rFonts w:eastAsia="georgia" w:cs="georgia" w:ascii="georgia" w:hAnsi="georgia"/>
          <w:color w:val="000000"/>
          <w:sz w:val="21"/>
        </w:rPr>
        <w:t xml:space="preserve">Allow the vial to reach room temperature briefly before opening to reduce condensation.</w:t>
      </w:r>
    </w:p>
    <w:p>
      <w:pPr>
        <w:numPr>
          <w:ilvl w:val="0"/>
          <w:numId w:val="16"/>
        </w:numPr>
        <w:spacing w:line="360" w:before="105" w:after="105" w:lineRule="auto"/>
      </w:pPr>
      <w:r>
        <w:rPr>
          <w:rFonts w:eastAsia="georgia" w:cs="georgia" w:ascii="georgia" w:hAnsi="georgia"/>
          <w:color w:val="000000"/>
          <w:sz w:val="21"/>
        </w:rPr>
        <w:t xml:space="preserve">Add solvent slowly along the inner wall of the vial and gently swirl or roll until the powder is fully dissolved; avoid vigorous shaking.[conversation_history:1]</w:t>
      </w:r>
    </w:p>
    <w:p>
      <w:pPr>
        <w:numPr>
          <w:ilvl w:val="0"/>
          <w:numId w:val="16"/>
        </w:numPr>
        <w:spacing w:line="360" w:before="105" w:after="105" w:lineRule="auto"/>
      </w:pPr>
      <w:r>
        <w:rPr>
          <w:rFonts w:eastAsia="georgia" w:cs="georgia" w:ascii="georgia" w:hAnsi="georgia"/>
          <w:color w:val="000000"/>
          <w:sz w:val="21"/>
        </w:rPr>
        <w:t xml:space="preserve">Because ipamorelin is a small peptide, dissolution is typically rapid (1–2 minutes).</w:t>
      </w:r>
    </w:p>
    <w:p>
      <w:pPr>
        <w:numPr>
          <w:ilvl w:val="0"/>
          <w:numId w:val="16"/>
        </w:numPr>
        <w:spacing w:line="360" w:before="105" w:after="105" w:lineRule="auto"/>
      </w:pPr>
      <w:r>
        <w:rPr>
          <w:rFonts w:eastAsia="georgia" w:cs="georgia" w:ascii="georgia" w:hAnsi="georgia"/>
          <w:color w:val="000000"/>
          <w:sz w:val="21"/>
        </w:rPr>
        <w:t xml:space="preserve">Typical stock concentrations used in the literature fall in the 0.1–5 mg/mL range; exact concentrations should be determined by the investigator.</w:t>
      </w:r>
    </w:p>
    <w:p>
      <w:pPr>
        <w:spacing w:line="360" w:before="315" w:after="105" w:lineRule="auto"/>
        <w:ind w:left="-30"/>
        <w:jc w:val="left"/>
      </w:pPr>
      <w:bookmarkStart w:id="22" w:name="reconstituted_solution_storage"/>
      <w:r>
        <w:rPr>
          <w:rFonts w:eastAsia="georgia" w:cs="georgia" w:ascii="georgia" w:hAnsi="georgia"/>
          <w:b/>
          <w:color w:val="000000"/>
          <w:sz w:val="24"/>
        </w:rPr>
        <w:t xml:space="preserve">Reconstituted solution storage</w:t>
      </w:r>
      <w:bookmarkEnd w:id="22"/>
    </w:p>
    <w:p>
      <w:pPr>
        <w:numPr>
          <w:ilvl w:val="0"/>
          <w:numId w:val="17"/>
        </w:numPr>
        <w:spacing w:line="360" w:before="105" w:after="105" w:lineRule="auto"/>
      </w:pPr>
      <w:r>
        <w:rPr>
          <w:rFonts w:eastAsia="georgia" w:cs="georgia" w:ascii="georgia" w:hAnsi="georgia"/>
          <w:color w:val="000000"/>
          <w:sz w:val="21"/>
        </w:rPr>
        <w:t xml:space="preserve">Short‑term: store at 2–8 °C for approximately 7–10 days in sterile containers.[conversation_history:1]</w:t>
      </w:r>
    </w:p>
    <w:p>
      <w:pPr>
        <w:numPr>
          <w:ilvl w:val="0"/>
          <w:numId w:val="17"/>
        </w:numPr>
        <w:spacing w:line="360" w:before="105" w:after="105" w:lineRule="auto"/>
      </w:pPr>
      <w:r>
        <w:rPr>
          <w:rFonts w:eastAsia="georgia" w:cs="georgia" w:ascii="georgia" w:hAnsi="georgia"/>
          <w:color w:val="000000"/>
          <w:sz w:val="21"/>
        </w:rPr>
        <w:t xml:space="preserve">Long‑term: aliquot into single‑use volumes and store at −20 °C or below to reduce freeze–thaw cycles.[conversation_history:1]</w:t>
      </w:r>
    </w:p>
    <w:p>
      <w:pPr>
        <w:numPr>
          <w:ilvl w:val="0"/>
          <w:numId w:val="17"/>
        </w:numPr>
        <w:spacing w:line="360" w:before="105" w:after="105" w:lineRule="auto"/>
      </w:pPr>
      <w:r>
        <w:rPr>
          <w:rFonts w:eastAsia="georgia" w:cs="georgia" w:ascii="georgia" w:hAnsi="georgia"/>
          <w:color w:val="000000"/>
          <w:sz w:val="21"/>
        </w:rPr>
        <w:t xml:space="preserve">Avoid more than 2–3 freeze–thaw cycles for any single aliquot.</w:t>
      </w:r>
    </w:p>
    <w:p>
      <w:pPr>
        <w:spacing w:line="360" w:after="210" w:lineRule="auto"/>
      </w:pPr>
      <w:r>
        <w:rPr>
          <w:rFonts w:eastAsia="georgia" w:cs="georgia" w:ascii="georgia" w:hAnsi="georgia"/>
          <w:color w:val="000000"/>
        </w:rPr>
        <w:t xml:space="preserve">These guidelines reflect common peptide‑handling practices and published stability observations; each laboratory should confirm stability in its own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quality_purity_and_analytical_cha_7a98cc"/>
      <w:r>
        <w:rPr>
          <w:rFonts w:eastAsia="georgia" w:cs="georgia" w:ascii="georgia" w:hAnsi="georgia"/>
          <w:b/>
          <w:color w:val="000000"/>
          <w:sz w:val="24"/>
        </w:rPr>
        <w:t xml:space="preserve">Quality, purity, and analytical characterization</w:t>
      </w:r>
      <w:bookmarkEnd w:id="23"/>
    </w:p>
    <w:p>
      <w:pPr>
        <w:spacing w:line="360" w:after="210" w:lineRule="auto"/>
      </w:pPr>
      <w:r>
        <w:rPr>
          <w:rFonts w:eastAsia="georgia" w:cs="georgia" w:ascii="georgia" w:hAnsi="georgia"/>
          <w:color w:val="000000"/>
        </w:rPr>
        <w:t xml:space="preserve">Each research batch of ipamorelin is typically evaluated using standard peptide‑analysis methods.</w:t>
      </w:r>
    </w:p>
    <w:p>
      <w:pPr>
        <w:spacing w:line="360" w:after="210" w:lineRule="auto"/>
      </w:pPr>
      <w:r>
        <w:rPr>
          <w:rFonts w:eastAsia="georgia" w:cs="georgia" w:ascii="georgia" w:hAnsi="georgia"/>
          <w:color w:val="000000"/>
        </w:rPr>
        <w:t xml:space="preserve">A representative quality profile includes:</w:t>
      </w:r>
    </w:p>
    <w:p>
      <w:pPr>
        <w:numPr>
          <w:ilvl w:val="0"/>
          <w:numId w:val="18"/>
        </w:numPr>
        <w:spacing w:line="360" w:after="210" w:lineRule="auto"/>
      </w:pPr>
      <w:r>
        <w:rPr>
          <w:rFonts w:eastAsia="georgia" w:cs="georgia" w:ascii="georgia" w:hAnsi="georgia"/>
          <w:b/>
          <w:color w:val="000000"/>
          <w:sz w:val="21"/>
        </w:rPr>
        <w:t xml:space="preserve">Purity</w:t>
      </w:r>
    </w:p>
    <w:p>
      <w:pPr>
        <w:numPr>
          <w:ilvl w:val="1"/>
          <w:numId w:val="18"/>
        </w:numPr>
        <w:spacing w:line="360" w:before="105" w:after="105" w:lineRule="auto"/>
      </w:pPr>
      <w:r>
        <w:rPr>
          <w:rFonts w:eastAsia="georgia" w:cs="georgia" w:ascii="georgia" w:hAnsi="georgia"/>
          <w:color w:val="000000"/>
          <w:sz w:val="21"/>
        </w:rPr>
        <w:t xml:space="preserve">≥ 98% purity by reversed‑phase HPLC.</w:t>
      </w:r>
    </w:p>
    <w:p>
      <w:pPr>
        <w:numPr>
          <w:ilvl w:val="1"/>
          <w:numId w:val="18"/>
        </w:numPr>
        <w:spacing w:line="360" w:before="105" w:after="105" w:lineRule="auto"/>
      </w:pPr>
      <w:r>
        <w:rPr>
          <w:rFonts w:eastAsia="georgia" w:cs="georgia" w:ascii="georgia" w:hAnsi="georgia"/>
          <w:color w:val="000000"/>
          <w:sz w:val="21"/>
        </w:rPr>
        <w:t xml:space="preserve">UV detection at peptide‑appropriate wavelengths (for example, around 214 nm).</w:t>
      </w:r>
    </w:p>
    <w:p>
      <w:pPr>
        <w:numPr>
          <w:ilvl w:val="1"/>
          <w:numId w:val="18"/>
        </w:numPr>
        <w:spacing w:line="360" w:before="105" w:after="105" w:lineRule="auto"/>
      </w:pPr>
      <w:r>
        <w:rPr>
          <w:rFonts w:eastAsia="georgia" w:cs="georgia" w:ascii="georgia" w:hAnsi="georgia"/>
          <w:color w:val="000000"/>
          <w:sz w:val="21"/>
        </w:rPr>
        <w:t xml:space="preserve">Full peak integration and related‑substance profiling.[conversation_history:1]</w:t>
      </w:r>
    </w:p>
    <w:p>
      <w:pPr>
        <w:numPr>
          <w:ilvl w:val="0"/>
          <w:numId w:val="18"/>
        </w:numPr>
        <w:spacing w:line="360" w:after="210" w:lineRule="auto"/>
      </w:pPr>
      <w:r>
        <w:rPr>
          <w:rFonts w:eastAsia="georgia" w:cs="georgia" w:ascii="georgia" w:hAnsi="georgia"/>
          <w:b/>
          <w:color w:val="000000"/>
          <w:sz w:val="21"/>
        </w:rPr>
        <w:t xml:space="preserve">Identity and content</w:t>
      </w:r>
    </w:p>
    <w:p>
      <w:pPr>
        <w:numPr>
          <w:ilvl w:val="1"/>
          <w:numId w:val="18"/>
        </w:numPr>
        <w:spacing w:line="360" w:before="105" w:after="105" w:lineRule="auto"/>
      </w:pPr>
      <w:r>
        <w:rPr>
          <w:rFonts w:eastAsia="georgia" w:cs="georgia" w:ascii="georgia" w:hAnsi="georgia"/>
          <w:color w:val="000000"/>
          <w:sz w:val="21"/>
        </w:rPr>
        <w:t xml:space="preserve">Electrospray ionization mass spectrometry (ESI‑MS) confirming the expected molecular weight (~711.9 Da).[conversation_history:1]</w:t>
      </w:r>
    </w:p>
    <w:p>
      <w:pPr>
        <w:numPr>
          <w:ilvl w:val="1"/>
          <w:numId w:val="18"/>
        </w:numPr>
        <w:spacing w:line="360" w:before="105" w:after="105" w:lineRule="auto"/>
      </w:pPr>
      <w:r>
        <w:rPr>
          <w:rFonts w:eastAsia="georgia" w:cs="georgia" w:ascii="georgia" w:hAnsi="georgia"/>
          <w:color w:val="000000"/>
          <w:sz w:val="21"/>
        </w:rPr>
        <w:t xml:space="preserve">Amino‑acid composition or derivative analysis to verify sequence content.</w:t>
      </w:r>
    </w:p>
    <w:p>
      <w:pPr>
        <w:numPr>
          <w:ilvl w:val="1"/>
          <w:numId w:val="18"/>
        </w:numPr>
        <w:spacing w:line="360" w:before="105" w:after="105" w:lineRule="auto"/>
      </w:pPr>
      <w:r>
        <w:rPr>
          <w:rFonts w:eastAsia="georgia" w:cs="georgia" w:ascii="georgia" w:hAnsi="georgia"/>
          <w:color w:val="000000"/>
          <w:sz w:val="21"/>
        </w:rPr>
        <w:t xml:space="preserve">Peptide content determination to estimate the proportion of active peptide in the lyophilized material.[conversation_history:1]</w:t>
      </w:r>
    </w:p>
    <w:p>
      <w:pPr>
        <w:numPr>
          <w:ilvl w:val="0"/>
          <w:numId w:val="18"/>
        </w:numPr>
        <w:spacing w:line="360" w:after="210" w:lineRule="auto"/>
      </w:pPr>
      <w:r>
        <w:rPr>
          <w:rFonts w:eastAsia="georgia" w:cs="georgia" w:ascii="georgia" w:hAnsi="georgia"/>
          <w:b/>
          <w:color w:val="000000"/>
          <w:sz w:val="21"/>
        </w:rPr>
        <w:t xml:space="preserve">Contaminant and stability testing</w:t>
      </w:r>
    </w:p>
    <w:p>
      <w:pPr>
        <w:numPr>
          <w:ilvl w:val="1"/>
          <w:numId w:val="18"/>
        </w:numPr>
        <w:spacing w:line="360" w:before="105" w:after="105" w:lineRule="auto"/>
      </w:pPr>
      <w:r>
        <w:rPr>
          <w:rFonts w:eastAsia="georgia" w:cs="georgia" w:ascii="georgia" w:hAnsi="georgia"/>
          <w:color w:val="000000"/>
          <w:sz w:val="21"/>
        </w:rPr>
        <w:t xml:space="preserve">Bacterial endotoxin testing (for example, &lt; 5 EU/mg by LAL methods) where specified.[conversation_history:1]</w:t>
      </w:r>
    </w:p>
    <w:p>
      <w:pPr>
        <w:numPr>
          <w:ilvl w:val="1"/>
          <w:numId w:val="18"/>
        </w:numPr>
        <w:spacing w:line="360" w:before="105" w:after="105" w:lineRule="auto"/>
      </w:pPr>
      <w:r>
        <w:rPr>
          <w:rFonts w:eastAsia="georgia" w:cs="georgia" w:ascii="georgia" w:hAnsi="georgia"/>
          <w:color w:val="000000"/>
          <w:sz w:val="21"/>
        </w:rPr>
        <w:t xml:space="preserve">Heavy‑metal and residual‑solvent testing consistent with research‑grade specifications.[conversation_history:1]</w:t>
      </w:r>
    </w:p>
    <w:p>
      <w:pPr>
        <w:numPr>
          <w:ilvl w:val="1"/>
          <w:numId w:val="18"/>
        </w:numPr>
        <w:spacing w:line="360" w:before="105" w:after="105" w:lineRule="auto"/>
      </w:pPr>
      <w:r>
        <w:rPr>
          <w:rFonts w:eastAsia="georgia" w:cs="georgia" w:ascii="georgia" w:hAnsi="georgia"/>
          <w:color w:val="000000"/>
          <w:sz w:val="21"/>
        </w:rPr>
        <w:t xml:space="preserve">Water content determination and stability measurements at recommended storage temperatures.</w:t>
      </w:r>
    </w:p>
    <w:p>
      <w:pPr>
        <w:spacing w:line="360" w:after="210" w:lineRule="auto"/>
      </w:pPr>
      <w:r>
        <w:rPr>
          <w:rFonts w:eastAsia="georgia" w:cs="georgia" w:ascii="georgia" w:hAnsi="georgia"/>
          <w:color w:val="000000"/>
        </w:rPr>
        <w:t xml:space="preserve">Investigators should always consult the batch‑specific Certificate of Analysis (COA) for detailed results and analytical methods for the lot they receive.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example_research_usage_patterns_i_528aaf"/>
      <w:r>
        <w:rPr>
          <w:rFonts w:eastAsia="georgia" w:cs="georgia" w:ascii="georgia" w:hAnsi="georgia"/>
          <w:b/>
          <w:color w:val="000000"/>
          <w:sz w:val="24"/>
        </w:rPr>
        <w:t xml:space="preserve">Example research usage patterns (illustrative only)</w:t>
      </w:r>
      <w:bookmarkEnd w:id="24"/>
    </w:p>
    <w:p>
      <w:pPr>
        <w:spacing w:line="360" w:after="210" w:lineRule="auto"/>
      </w:pPr>
      <w:r>
        <w:rPr>
          <w:rFonts w:eastAsia="georgia" w:cs="georgia" w:ascii="georgia" w:hAnsi="georgia"/>
          <w:color w:val="000000"/>
        </w:rPr>
        <w:t xml:space="preserve">The literature provides examples of how ipamorelin has been used in experimental designs; these are descriptions, not recommendations.</w:t>
      </w:r>
    </w:p>
    <w:p>
      <w:pPr>
        <w:numPr>
          <w:ilvl w:val="0"/>
          <w:numId w:val="19"/>
        </w:numPr>
        <w:spacing w:line="360" w:after="210" w:lineRule="auto"/>
      </w:pPr>
      <w:r>
        <w:rPr>
          <w:rFonts w:eastAsia="georgia" w:cs="georgia" w:ascii="georgia" w:hAnsi="georgia"/>
          <w:b/>
          <w:color w:val="000000"/>
          <w:sz w:val="21"/>
        </w:rPr>
        <w:t xml:space="preserve">Pituitary and GH‑axis studies</w:t>
      </w:r>
    </w:p>
    <w:p>
      <w:pPr>
        <w:numPr>
          <w:ilvl w:val="1"/>
          <w:numId w:val="19"/>
        </w:numPr>
        <w:spacing w:line="360" w:before="105" w:after="105" w:lineRule="auto"/>
      </w:pPr>
      <w:r>
        <w:rPr>
          <w:rFonts w:eastAsia="georgia" w:cs="georgia" w:ascii="georgia" w:hAnsi="georgia"/>
          <w:color w:val="000000"/>
          <w:sz w:val="21"/>
        </w:rPr>
        <w:t xml:space="preserve">Applying ipamorelin to pituitary cell cultures or in‑vivo models with serial GH sampling to characterize pulse dynamics.[conversation_history:1]</w:t>
      </w:r>
    </w:p>
    <w:p>
      <w:pPr>
        <w:numPr>
          <w:ilvl w:val="0"/>
          <w:numId w:val="19"/>
        </w:numPr>
        <w:spacing w:line="360" w:after="210" w:lineRule="auto"/>
      </w:pPr>
      <w:r>
        <w:rPr>
          <w:rFonts w:eastAsia="georgia" w:cs="georgia" w:ascii="georgia" w:hAnsi="georgia"/>
          <w:b/>
          <w:color w:val="000000"/>
          <w:sz w:val="21"/>
        </w:rPr>
        <w:t xml:space="preserve">Bone and glucocorticoid‑effect models</w:t>
      </w:r>
    </w:p>
    <w:p>
      <w:pPr>
        <w:numPr>
          <w:ilvl w:val="1"/>
          <w:numId w:val="19"/>
        </w:numPr>
        <w:spacing w:line="360" w:before="105" w:after="105" w:lineRule="auto"/>
      </w:pPr>
      <w:r>
        <w:rPr>
          <w:rFonts w:eastAsia="georgia" w:cs="georgia" w:ascii="georgia" w:hAnsi="georgia"/>
          <w:color w:val="000000"/>
          <w:sz w:val="21"/>
        </w:rPr>
        <w:t xml:space="preserve">Using ipamorelin in glucocorticoid‑treated animals to examine bone formation, bone mineral density, and skeletal strength.[conversation_history:1]</w:t>
      </w:r>
    </w:p>
    <w:p>
      <w:pPr>
        <w:numPr>
          <w:ilvl w:val="0"/>
          <w:numId w:val="19"/>
        </w:numPr>
        <w:spacing w:line="360" w:after="210" w:lineRule="auto"/>
      </w:pPr>
      <w:r>
        <w:rPr>
          <w:rFonts w:eastAsia="georgia" w:cs="georgia" w:ascii="georgia" w:hAnsi="georgia"/>
          <w:b/>
          <w:color w:val="000000"/>
          <w:sz w:val="21"/>
        </w:rPr>
        <w:t xml:space="preserve">Metabolic and body‑composition research</w:t>
      </w:r>
    </w:p>
    <w:p>
      <w:pPr>
        <w:numPr>
          <w:ilvl w:val="1"/>
          <w:numId w:val="19"/>
        </w:numPr>
        <w:spacing w:line="360" w:before="105" w:after="105" w:lineRule="auto"/>
      </w:pPr>
      <w:r>
        <w:rPr>
          <w:rFonts w:eastAsia="georgia" w:cs="georgia" w:ascii="georgia" w:hAnsi="georgia"/>
          <w:color w:val="000000"/>
          <w:sz w:val="21"/>
        </w:rPr>
        <w:t xml:space="preserve">Incorporating ipamorelin into models that track changes in fat mass, lean mass, nitrogen balance, and metabolic markers.</w:t>
      </w:r>
    </w:p>
    <w:p>
      <w:pPr>
        <w:numPr>
          <w:ilvl w:val="0"/>
          <w:numId w:val="19"/>
        </w:numPr>
        <w:spacing w:line="360" w:after="210" w:lineRule="auto"/>
      </w:pPr>
      <w:r>
        <w:rPr>
          <w:rFonts w:eastAsia="georgia" w:cs="georgia" w:ascii="georgia" w:hAnsi="georgia"/>
          <w:b/>
          <w:color w:val="000000"/>
          <w:sz w:val="21"/>
        </w:rPr>
        <w:t xml:space="preserve">GI motility and POI models</w:t>
      </w:r>
    </w:p>
    <w:p>
      <w:pPr>
        <w:numPr>
          <w:ilvl w:val="1"/>
          <w:numId w:val="19"/>
        </w:numPr>
        <w:spacing w:line="360" w:before="105" w:after="105" w:lineRule="auto"/>
      </w:pPr>
      <w:r>
        <w:rPr>
          <w:rFonts w:eastAsia="georgia" w:cs="georgia" w:ascii="georgia" w:hAnsi="georgia"/>
          <w:color w:val="000000"/>
          <w:sz w:val="21"/>
        </w:rPr>
        <w:t xml:space="preserve">Studying gastric emptying, intestinal transit, and GI recovery in postoperative ileus paradigms and related motility models.[conversation_history:1]</w:t>
      </w:r>
    </w:p>
    <w:p>
      <w:pPr>
        <w:spacing w:line="360" w:after="210" w:lineRule="auto"/>
      </w:pPr>
      <w:r>
        <w:rPr>
          <w:rFonts w:eastAsia="georgia" w:cs="georgia" w:ascii="georgia" w:hAnsi="georgia"/>
          <w:color w:val="000000"/>
        </w:rPr>
        <w:t xml:space="preserve">All protocol design decisions, including dose selection, duration, and safety monitoring, must be made by the investigator and reviewed by appropriate institutional committees.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why_this_description_fits_a_resea_1f2988"/>
      <w:r>
        <w:rPr>
          <w:rFonts w:eastAsia="georgia" w:cs="georgia" w:ascii="georgia" w:hAnsi="georgia"/>
          <w:b/>
          <w:color w:val="000000"/>
          <w:sz w:val="24"/>
        </w:rPr>
        <w:t xml:space="preserve">Why this description fits a research‑ecommerce product page</w:t>
      </w:r>
      <w:bookmarkEnd w:id="25"/>
    </w:p>
    <w:p>
      <w:pPr>
        <w:spacing w:line="360" w:after="210" w:lineRule="auto"/>
      </w:pPr>
      <w:r>
        <w:rPr>
          <w:rFonts w:eastAsia="georgia" w:cs="georgia" w:ascii="georgia" w:hAnsi="georgia"/>
          <w:color w:val="000000"/>
        </w:rPr>
        <w:t xml:space="preserve">For a peptide catalog, buyers need clear technical facts, a concise explanation of how the peptide is used in research, and unambiguous research‑only positioning.</w:t>
      </w:r>
    </w:p>
    <w:p>
      <w:pPr>
        <w:spacing w:line="360" w:after="210" w:lineRule="auto"/>
      </w:pPr>
      <w:r>
        <w:rPr>
          <w:rFonts w:eastAsia="georgia" w:cs="georgia" w:ascii="georgia" w:hAnsi="georgia"/>
          <w:color w:val="000000"/>
        </w:rPr>
        <w:t xml:space="preserve">This description:</w:t>
      </w:r>
    </w:p>
    <w:p>
      <w:pPr>
        <w:numPr>
          <w:ilvl w:val="0"/>
          <w:numId w:val="20"/>
        </w:numPr>
        <w:spacing w:line="360" w:before="105" w:after="105" w:lineRule="auto"/>
      </w:pPr>
      <w:r>
        <w:rPr>
          <w:rFonts w:eastAsia="georgia" w:cs="georgia" w:ascii="georgia" w:hAnsi="georgia"/>
          <w:color w:val="000000"/>
          <w:sz w:val="21"/>
        </w:rPr>
        <w:t xml:space="preserve">Presents key specs (sequence, formula, MW, CAS, purity, storage) in a simple, scannable format.[conversation_history:1]</w:t>
      </w:r>
    </w:p>
    <w:p>
      <w:pPr>
        <w:numPr>
          <w:ilvl w:val="0"/>
          <w:numId w:val="20"/>
        </w:numPr>
        <w:spacing w:line="360" w:before="105" w:after="105" w:lineRule="auto"/>
      </w:pPr>
      <w:r>
        <w:rPr>
          <w:rFonts w:eastAsia="georgia" w:cs="georgia" w:ascii="georgia" w:hAnsi="georgia"/>
          <w:color w:val="000000"/>
          <w:sz w:val="21"/>
        </w:rPr>
        <w:t xml:space="preserve">Explains ipamorelin’s unique role as a selective GHSR agonist in plain, non‑promotional language.</w:t>
      </w:r>
    </w:p>
    <w:p>
      <w:pPr>
        <w:numPr>
          <w:ilvl w:val="0"/>
          <w:numId w:val="20"/>
        </w:numPr>
        <w:spacing w:line="360" w:before="105" w:after="105" w:lineRule="auto"/>
      </w:pPr>
      <w:r>
        <w:rPr>
          <w:rFonts w:eastAsia="georgia" w:cs="georgia" w:ascii="georgia" w:hAnsi="georgia"/>
          <w:color w:val="000000"/>
          <w:sz w:val="21"/>
        </w:rPr>
        <w:t xml:space="preserve">Summarizes main research themes (selective GH secretion, synergy with GHRH analogs, bone and muscle work, metabolism, GI motility, and imaging) while avoiding treatment claims.[conversation_history:1]</w:t>
      </w:r>
    </w:p>
    <w:p>
      <w:pPr>
        <w:numPr>
          <w:ilvl w:val="0"/>
          <w:numId w:val="20"/>
        </w:numPr>
        <w:spacing w:line="360" w:before="105" w:after="105" w:lineRule="auto"/>
      </w:pPr>
      <w:r>
        <w:rPr>
          <w:rFonts w:eastAsia="georgia" w:cs="georgia" w:ascii="georgia" w:hAnsi="georgia"/>
          <w:color w:val="000000"/>
          <w:sz w:val="21"/>
        </w:rPr>
        <w:t xml:space="preserve">Includes practical handling and quality details that laboratories expect when assessing research‑grade reagents.</w:t>
      </w:r>
    </w:p>
    <w:p>
      <w:pPr>
        <w:spacing w:line="360" w:after="210" w:lineRule="auto"/>
      </w:pPr>
      <w:r>
        <w:rPr>
          <w:rFonts w:eastAsia="georgia" w:cs="georgia" w:ascii="georgia" w:hAnsi="georgia"/>
          <w:color w:val="000000"/>
        </w:rPr>
        <w:t xml:space="preserve">You can use this text directly on your product page, shorten it into a high‑level summary, or split it into on‑page copy plus a downloadable technical sheet.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research_use_only_and_compliance_notice"/>
      <w:r>
        <w:rPr>
          <w:rFonts w:eastAsia="georgia" w:cs="georgia" w:ascii="georgia" w:hAnsi="georgia"/>
          <w:b/>
          <w:color w:val="000000"/>
          <w:sz w:val="24"/>
        </w:rPr>
        <w:t xml:space="preserve">Research‑use‑only and compliance notice</w:t>
      </w:r>
      <w:bookmarkEnd w:id="26"/>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Ipamorelin (10 mg) is supplied solely as a research chemical for in‑vitro and preclinical laboratory applications. It is not a drug, food, cosmetic, dietary supplement, or medical product and has not been evaluated or approved by the FDA or any other regulatory authority for use in humans or animals.</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under any circumstances outside properly approved research protocols. Handling should be restricted to qualified professionals working in appropriately equipped research facilities and operating under institutional safety, ethical, and compliance guidelines.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2026-04-27T19:05:27.266Z</dcterms:created>
  <dcterms:modified xsi:type="dcterms:W3CDTF">2026-04-27T19:05:27.266Z</dcterms:modified>
</cp:coreProperties>
</file>