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pv_10_mg_α_msh_derived_anti_infl_bfc58d"/>
      <w:r>
        <w:rPr>
          <w:rFonts w:eastAsia="georgia" w:cs="georgia" w:ascii="georgia" w:hAnsi="georgia"/>
          <w:b/>
          <w:color w:val="000000"/>
          <w:sz w:val="39"/>
        </w:rPr>
        <w:t xml:space="preserve">KPV 10 mg – α‑MSH‑Derived Anti‑Inflammatory Tripeptide (Research Grade)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KPV (Lys‑Pro‑Val) is a synthetic tripeptide corresponding to the C‑terminal fragment (positions 11–13) of α‑melanocyte‑stimulating hormone (α‑MSH).[web:219][web:220][web:223] This ultra‑short sequence has been widely studied for its ability to reproduce many of α‑MSH’s anti‑inflammatory and tissue‑protective effects while operating largely through melanocortin‑receptor‑independent mechanisms in experimental systems.[web:222][web:225][web:228]</w:t>
      </w:r>
    </w:p>
    <w:p>
      <w:pPr>
        <w:spacing w:line="360" w:after="210" w:lineRule="auto"/>
      </w:pPr>
      <w:r>
        <w:rPr>
          <w:rFonts w:eastAsia="georgia" w:cs="georgia" w:ascii="georgia" w:hAnsi="georgia"/>
          <w:color w:val="000000"/>
        </w:rPr>
        <w:t xml:space="preserve">In preclinical models, KPV has been investigated as a tool compound for probing NF‑κB and MAPK signalling, epithelial and mucosal barrier responses, wound‑healing dynamics, and antimicrobial peptide‑like activity under controlled laboratory conditions.[web:221][web:222][web:227] KPV 10 mg is supplied as a lyophilised research peptide designed for in‑vitro work and approved preclinical animal studies and is not formulated or approved for human or veterinary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KPV 10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sequence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Lys‑Pro‑Val (H‑Lys‑Pro‑Val‑OH)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Peptide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 amino acids (tripeptide)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C₁₆H₃₀N₄O₄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~342.4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67727‑97‑3 (free acid)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Parent peptide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α‑MSH (residues 11–13)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lyophilised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Readily soluble in water and aqueous buffers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or below,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These identifiers and properties are consistent with published references for KPV.[web:220][web:223][web:226][web:229]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KPV is the minimal α‑MSH‑derived motif retaining robust anti‑inflammatory activity in a wide range of experimental models.[web:219][web:222][web:225] The peptide contains lysine, proline, and valine in L‑configuration and is typically supplied as the free acid (H‑Lys‑Pro‑Val‑OH); amidated and acetylated variants such as Ac‑KPV‑NH₂ are also discussed in the literature as related research tools.[web:219][web:222][web:228]</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Sequence: Lys‑Pro‑Val (K‑P‑V), the α‑MSH(11–13) fragment.</w:t>
      </w:r>
    </w:p>
    <w:p>
      <w:pPr>
        <w:numPr>
          <w:ilvl w:val="0"/>
          <w:numId w:val="1"/>
        </w:numPr>
        <w:spacing w:line="360" w:before="105" w:after="105" w:lineRule="auto"/>
      </w:pPr>
      <w:r>
        <w:rPr>
          <w:rFonts w:eastAsia="georgia" w:cs="georgia" w:ascii="georgia" w:hAnsi="georgia"/>
          <w:color w:val="000000"/>
          <w:sz w:val="21"/>
        </w:rPr>
        <w:t xml:space="preserve">Molecular formula (free acid): C₁₆H₃₀N₄O₄; molecular weight ~342.4 g/mol.[web:220][web:223][web:226]</w:t>
      </w:r>
    </w:p>
    <w:p>
      <w:pPr>
        <w:numPr>
          <w:ilvl w:val="0"/>
          <w:numId w:val="1"/>
        </w:numPr>
        <w:spacing w:line="360" w:before="105" w:after="105" w:lineRule="auto"/>
      </w:pPr>
      <w:r>
        <w:rPr>
          <w:rFonts w:eastAsia="georgia" w:cs="georgia" w:ascii="georgia" w:hAnsi="georgia"/>
          <w:color w:val="000000"/>
          <w:sz w:val="21"/>
        </w:rPr>
        <w:t xml:space="preserve">Classification: synthetic tripeptide with anti‑inflammatory and antimicrobial activity in preclinical models.[web:222][web:226]</w:t>
      </w:r>
    </w:p>
    <w:p>
      <w:pPr>
        <w:spacing w:line="360" w:after="210" w:lineRule="auto"/>
      </w:pPr>
      <w:r>
        <w:rPr>
          <w:rFonts w:eastAsia="georgia" w:cs="georgia" w:ascii="georgia" w:hAnsi="georgia"/>
          <w:color w:val="000000"/>
        </w:rPr>
        <w:t xml:space="preserve">The short length and presence of a cationic lysine side chain support efficient cellular uptake and intracellular target engagement in many in‑vitro systems.[web:221][web:227]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origin_and_signalling_context"/>
      <w:r>
        <w:rPr>
          <w:rFonts w:eastAsia="georgia" w:cs="georgia" w:ascii="georgia" w:hAnsi="georgia"/>
          <w:b/>
          <w:color w:val="000000"/>
          <w:sz w:val="24"/>
        </w:rPr>
        <w:t xml:space="preserve">Origin and signalling context</w:t>
      </w:r>
      <w:bookmarkEnd w:id="5"/>
    </w:p>
    <w:p>
      <w:pPr>
        <w:spacing w:line="360" w:after="210" w:lineRule="auto"/>
      </w:pPr>
      <w:r>
        <w:rPr>
          <w:rFonts w:eastAsia="georgia" w:cs="georgia" w:ascii="georgia" w:hAnsi="georgia"/>
          <w:color w:val="000000"/>
        </w:rPr>
        <w:t xml:space="preserve">α‑MSH is a 13‑residue neuropeptide with well‑characterised immunomodulatory properties, including broad anti‑inflammatory actions in diverse tissues.[web:222][web:223][web:228] Structure–activity studies identified the C‑terminal KPV fragment as sufficient to reproduce many of these effects without engaging the full spectrum of melanocortin receptor signalling seen with the parent peptide.[web:225][web:228][web:231]</w:t>
      </w:r>
    </w:p>
    <w:p>
      <w:pPr>
        <w:spacing w:line="360" w:after="210" w:lineRule="auto"/>
      </w:pPr>
      <w:r>
        <w:rPr>
          <w:rFonts w:eastAsia="georgia" w:cs="georgia" w:ascii="georgia" w:hAnsi="georgia"/>
          <w:color w:val="000000"/>
        </w:rPr>
        <w:t xml:space="preserve">KPV is therefore used in research to separate receptor‑independent intracellular mechanisms from classical melanocortin receptor pathways.[web:222][web:225]</w:t>
      </w:r>
    </w:p>
    <w:p>
      <w:pPr>
        <w:spacing w:line="360" w:before="315" w:after="105" w:lineRule="auto"/>
        <w:ind w:left="-30"/>
        <w:jc w:val="left"/>
      </w:pPr>
      <w:bookmarkStart w:id="6" w:name="nf_κb_and_mapk_pathway_modulation"/>
      <w:r>
        <w:rPr>
          <w:rFonts w:eastAsia="georgia" w:cs="georgia" w:ascii="georgia" w:hAnsi="georgia"/>
          <w:b/>
          <w:color w:val="000000"/>
          <w:sz w:val="24"/>
        </w:rPr>
        <w:t xml:space="preserve">NF‑κB and MAPK pathway modulation</w:t>
      </w:r>
      <w:bookmarkEnd w:id="6"/>
    </w:p>
    <w:p>
      <w:pPr>
        <w:spacing w:line="360" w:after="210" w:lineRule="auto"/>
      </w:pPr>
      <w:r>
        <w:rPr>
          <w:rFonts w:eastAsia="georgia" w:cs="georgia" w:ascii="georgia" w:hAnsi="georgia"/>
          <w:color w:val="000000"/>
        </w:rPr>
        <w:t xml:space="preserve">Multiple studies implicate KPV in direct modulation of key inflammatory transcriptional regulators:[web:221][web:224][web:227]</w:t>
      </w:r>
    </w:p>
    <w:p>
      <w:pPr>
        <w:numPr>
          <w:ilvl w:val="0"/>
          <w:numId w:val="2"/>
        </w:numPr>
        <w:spacing w:line="360" w:before="105" w:after="105" w:lineRule="auto"/>
      </w:pPr>
      <w:r>
        <w:rPr>
          <w:rFonts w:eastAsia="georgia" w:cs="georgia" w:ascii="georgia" w:hAnsi="georgia"/>
          <w:color w:val="000000"/>
          <w:sz w:val="21"/>
        </w:rPr>
        <w:t xml:space="preserve">In intestinal and epithelial cell models, KPV reduces NF‑κB activation by limiting nuclear translocation of p65 and stabilising IκBα.</w:t>
      </w:r>
    </w:p>
    <w:p>
      <w:pPr>
        <w:numPr>
          <w:ilvl w:val="0"/>
          <w:numId w:val="2"/>
        </w:numPr>
        <w:spacing w:line="360" w:before="105" w:after="105" w:lineRule="auto"/>
      </w:pPr>
      <w:r>
        <w:rPr>
          <w:rFonts w:eastAsia="georgia" w:cs="georgia" w:ascii="georgia" w:hAnsi="georgia"/>
          <w:color w:val="000000"/>
          <w:sz w:val="21"/>
        </w:rPr>
        <w:t xml:space="preserve">At low (nanomolar) concentrations, KPV can dampen MAPK pathway activation (ERK, JNK, p38) and reduce expression of pro‑inflammatory cytokines and chemokines.</w:t>
      </w:r>
    </w:p>
    <w:p>
      <w:pPr>
        <w:spacing w:line="360" w:after="210" w:lineRule="auto"/>
      </w:pPr>
      <w:r>
        <w:rPr>
          <w:rFonts w:eastAsia="georgia" w:cs="georgia" w:ascii="georgia" w:hAnsi="georgia"/>
          <w:color w:val="000000"/>
        </w:rPr>
        <w:t xml:space="preserve">These effects are reported to occur largely independently of melanocortin receptor activation, highlighting KPV as a useful probe for non‑receptor anti‑inflammatory mechanisms.[web:221][web:224][web:228]</w:t>
      </w:r>
    </w:p>
    <w:p>
      <w:pPr>
        <w:spacing w:line="360" w:before="315" w:after="105" w:lineRule="auto"/>
        <w:ind w:left="-30"/>
        <w:jc w:val="left"/>
      </w:pPr>
      <w:bookmarkStart w:id="7" w:name="pept1_mediated_uptake"/>
      <w:r>
        <w:rPr>
          <w:rFonts w:eastAsia="georgia" w:cs="georgia" w:ascii="georgia" w:hAnsi="georgia"/>
          <w:b/>
          <w:color w:val="000000"/>
          <w:sz w:val="24"/>
        </w:rPr>
        <w:t xml:space="preserve">PepT1‑mediated uptake</w:t>
      </w:r>
      <w:bookmarkEnd w:id="7"/>
    </w:p>
    <w:p>
      <w:pPr>
        <w:spacing w:line="360" w:after="210" w:lineRule="auto"/>
      </w:pPr>
      <w:r>
        <w:rPr>
          <w:rFonts w:eastAsia="georgia" w:cs="georgia" w:ascii="georgia" w:hAnsi="georgia"/>
          <w:color w:val="000000"/>
        </w:rPr>
        <w:t xml:space="preserve">KPV is a substrate for the intestinal di‑/tripeptide transporter PepT1, which becomes upregulated in inflamed gut epithelium and certain immune cells.[web:221][web:227][web:230] This transporter‑mediated uptake underpins research interest in oral delivery and inflammation‑dependent targeting in preclinical gastrointestinal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representative_research_applications"/>
      <w:r>
        <w:rPr>
          <w:rFonts w:eastAsia="georgia" w:cs="georgia" w:ascii="georgia" w:hAnsi="georgia"/>
          <w:b/>
          <w:color w:val="000000"/>
          <w:sz w:val="24"/>
        </w:rPr>
        <w:t xml:space="preserve">Representative research applications</w:t>
      </w:r>
      <w:bookmarkEnd w:id="8"/>
    </w:p>
    <w:p>
      <w:pPr>
        <w:spacing w:line="360" w:after="210" w:lineRule="auto"/>
      </w:pPr>
      <w:r>
        <w:rPr>
          <w:rFonts w:eastAsia="georgia" w:cs="georgia" w:ascii="georgia" w:hAnsi="georgia"/>
          <w:color w:val="000000"/>
        </w:rPr>
        <w:t xml:space="preserve">KPV 10 mg is intended for mechanistic and exploratory work rather than clinical translation. Common preclinical research themes include:</w:t>
      </w:r>
    </w:p>
    <w:p>
      <w:pPr>
        <w:numPr>
          <w:ilvl w:val="0"/>
          <w:numId w:val="3"/>
        </w:numPr>
        <w:spacing w:line="360" w:before="105" w:after="105" w:lineRule="auto"/>
      </w:pPr>
      <w:r>
        <w:rPr>
          <w:rFonts w:eastAsia="georgia" w:cs="georgia" w:ascii="georgia" w:hAnsi="georgia"/>
          <w:b/>
          <w:color w:val="000000"/>
          <w:sz w:val="21"/>
        </w:rPr>
        <w:t xml:space="preserve">Intestinal inflammation models</w:t>
      </w:r>
      <w:r>
        <w:rPr>
          <w:rFonts w:eastAsia="georgia" w:cs="georgia" w:ascii="georgia" w:hAnsi="georgia"/>
          <w:color w:val="000000"/>
          <w:sz w:val="21"/>
        </w:rPr>
        <w:t xml:space="preserve"> – DSS and TNBS colitis models examining NF‑κB signalling, cytokine profiles, epithelial barrier integrity, and PepT1‑dependent peptide uptake.[web:221][web:227][web:230]</w:t>
      </w:r>
    </w:p>
    <w:p>
      <w:pPr>
        <w:numPr>
          <w:ilvl w:val="0"/>
          <w:numId w:val="3"/>
        </w:numPr>
        <w:spacing w:line="360" w:before="105" w:after="105" w:lineRule="auto"/>
      </w:pPr>
      <w:r>
        <w:rPr>
          <w:rFonts w:eastAsia="georgia" w:cs="georgia" w:ascii="georgia" w:hAnsi="georgia"/>
          <w:b/>
          <w:color w:val="000000"/>
          <w:sz w:val="21"/>
        </w:rPr>
        <w:t xml:space="preserve">Epithelial and mucosal biology</w:t>
      </w:r>
      <w:r>
        <w:rPr>
          <w:rFonts w:eastAsia="georgia" w:cs="georgia" w:ascii="georgia" w:hAnsi="georgia"/>
          <w:color w:val="000000"/>
          <w:sz w:val="21"/>
        </w:rPr>
        <w:t xml:space="preserve"> – studies of epithelial repair, migration, and barrier function in intestinal, airway, and corneal systems exposed to inflammatory cues.[web:221][web:222][web:228]</w:t>
      </w:r>
    </w:p>
    <w:p>
      <w:pPr>
        <w:numPr>
          <w:ilvl w:val="0"/>
          <w:numId w:val="3"/>
        </w:numPr>
        <w:spacing w:line="360" w:before="105" w:after="105" w:lineRule="auto"/>
      </w:pPr>
      <w:r>
        <w:rPr>
          <w:rFonts w:eastAsia="georgia" w:cs="georgia" w:ascii="georgia" w:hAnsi="georgia"/>
          <w:b/>
          <w:color w:val="000000"/>
          <w:sz w:val="21"/>
        </w:rPr>
        <w:t xml:space="preserve">Skin and wound‑healing research</w:t>
      </w:r>
      <w:r>
        <w:rPr>
          <w:rFonts w:eastAsia="georgia" w:cs="georgia" w:ascii="georgia" w:hAnsi="georgia"/>
          <w:color w:val="000000"/>
          <w:sz w:val="21"/>
        </w:rPr>
        <w:t xml:space="preserve"> – evaluation of KPV‑related sequences in cutaneous inflammation, wound closure dynamics, and scar‑formation pathways.[web:222][web:228]</w:t>
      </w:r>
    </w:p>
    <w:p>
      <w:pPr>
        <w:numPr>
          <w:ilvl w:val="0"/>
          <w:numId w:val="3"/>
        </w:numPr>
        <w:spacing w:line="360" w:before="105" w:after="105" w:lineRule="auto"/>
      </w:pPr>
      <w:r>
        <w:rPr>
          <w:rFonts w:eastAsia="georgia" w:cs="georgia" w:ascii="georgia" w:hAnsi="georgia"/>
          <w:b/>
          <w:color w:val="000000"/>
          <w:sz w:val="21"/>
        </w:rPr>
        <w:t xml:space="preserve">Antimicrobial‑like activity</w:t>
      </w:r>
      <w:r>
        <w:rPr>
          <w:rFonts w:eastAsia="georgia" w:cs="georgia" w:ascii="georgia" w:hAnsi="georgia"/>
          <w:color w:val="000000"/>
          <w:sz w:val="21"/>
        </w:rPr>
        <w:t xml:space="preserve"> – assessment of KPV and derivatives against selected bacterial and fungal strains in models where inflammation and infection intersect.[web:219][web:222][web:226]</w:t>
      </w:r>
    </w:p>
    <w:p>
      <w:pPr>
        <w:spacing w:line="360" w:after="210" w:lineRule="auto"/>
      </w:pPr>
      <w:r>
        <w:rPr>
          <w:rFonts w:eastAsia="georgia" w:cs="georgia" w:ascii="georgia" w:hAnsi="georgia"/>
          <w:color w:val="000000"/>
        </w:rPr>
        <w:t xml:space="preserve">All such applications remain at the in‑vitro and preclinical stage.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handling_reconstitution_and_storage"/>
      <w:r>
        <w:rPr>
          <w:rFonts w:eastAsia="georgia" w:cs="georgia" w:ascii="georgia" w:hAnsi="georgia"/>
          <w:b/>
          <w:color w:val="000000"/>
          <w:sz w:val="24"/>
        </w:rPr>
        <w:t xml:space="preserve">Handling, reconstitution, and storage</w:t>
      </w:r>
      <w:bookmarkEnd w:id="9"/>
    </w:p>
    <w:p>
      <w:pPr>
        <w:spacing w:line="360" w:before="315" w:after="105" w:lineRule="auto"/>
        <w:ind w:left="-30"/>
        <w:jc w:val="left"/>
      </w:pPr>
      <w:bookmarkStart w:id="10" w:name="lyophilised_peptide"/>
      <w:r>
        <w:rPr>
          <w:rFonts w:eastAsia="georgia" w:cs="georgia" w:ascii="georgia" w:hAnsi="georgia"/>
          <w:b/>
          <w:color w:val="000000"/>
          <w:sz w:val="24"/>
        </w:rPr>
        <w:t xml:space="preserve">Lyophilised peptide</w:t>
      </w:r>
      <w:bookmarkEnd w:id="10"/>
    </w:p>
    <w:p>
      <w:pPr>
        <w:numPr>
          <w:ilvl w:val="0"/>
          <w:numId w:val="4"/>
        </w:numPr>
        <w:spacing w:line="360" w:before="105" w:after="105" w:lineRule="auto"/>
      </w:pPr>
      <w:r>
        <w:rPr>
          <w:rFonts w:eastAsia="georgia" w:cs="georgia" w:ascii="georgia" w:hAnsi="georgia"/>
          <w:color w:val="000000"/>
          <w:sz w:val="21"/>
        </w:rPr>
        <w:t xml:space="preserve">Store unopened vials at −20 °C or below in a dry, dark environment.</w:t>
      </w:r>
    </w:p>
    <w:p>
      <w:pPr>
        <w:numPr>
          <w:ilvl w:val="0"/>
          <w:numId w:val="4"/>
        </w:numPr>
        <w:spacing w:line="360" w:before="105" w:after="105" w:lineRule="auto"/>
      </w:pPr>
      <w:r>
        <w:rPr>
          <w:rFonts w:eastAsia="georgia" w:cs="georgia" w:ascii="georgia" w:hAnsi="georgia"/>
          <w:color w:val="000000"/>
          <w:sz w:val="21"/>
        </w:rPr>
        <w:t xml:space="preserve">Allow vials to reach room temperature before opening to minimise moisture condensation.</w:t>
      </w:r>
    </w:p>
    <w:p>
      <w:pPr>
        <w:numPr>
          <w:ilvl w:val="0"/>
          <w:numId w:val="4"/>
        </w:numPr>
        <w:spacing w:line="360" w:before="105" w:after="105" w:lineRule="auto"/>
      </w:pPr>
      <w:r>
        <w:rPr>
          <w:rFonts w:eastAsia="georgia" w:cs="georgia" w:ascii="georgia" w:hAnsi="georgia"/>
          <w:color w:val="000000"/>
          <w:sz w:val="21"/>
        </w:rPr>
        <w:t xml:space="preserve">Reseal promptly after use to limit exposure to ambient humidity.</w:t>
      </w:r>
    </w:p>
    <w:p>
      <w:pPr>
        <w:spacing w:line="360" w:before="315" w:after="105" w:lineRule="auto"/>
        <w:ind w:left="-30"/>
        <w:jc w:val="left"/>
      </w:pPr>
      <w:bookmarkStart w:id="11" w:name="reconstitution"/>
      <w:r>
        <w:rPr>
          <w:rFonts w:eastAsia="georgia" w:cs="georgia" w:ascii="georgia" w:hAnsi="georgia"/>
          <w:b/>
          <w:color w:val="000000"/>
          <w:sz w:val="24"/>
        </w:rPr>
        <w:t xml:space="preserve">Reconstitution</w:t>
      </w:r>
      <w:bookmarkEnd w:id="11"/>
    </w:p>
    <w:p>
      <w:pPr>
        <w:numPr>
          <w:ilvl w:val="0"/>
          <w:numId w:val="5"/>
        </w:numPr>
        <w:spacing w:line="360" w:before="105" w:after="105" w:lineRule="auto"/>
      </w:pPr>
      <w:r>
        <w:rPr>
          <w:rFonts w:eastAsia="georgia" w:cs="georgia" w:ascii="georgia" w:hAnsi="georgia"/>
          <w:color w:val="000000"/>
          <w:sz w:val="21"/>
        </w:rPr>
        <w:t xml:space="preserve">Reconstitute with sterile water, bacteriostatic water, PBS, or suitable cell‑culture buffer under aseptic conditions.</w:t>
      </w:r>
    </w:p>
    <w:p>
      <w:pPr>
        <w:numPr>
          <w:ilvl w:val="0"/>
          <w:numId w:val="5"/>
        </w:numPr>
        <w:spacing w:line="360" w:before="105" w:after="105" w:lineRule="auto"/>
      </w:pPr>
      <w:r>
        <w:rPr>
          <w:rFonts w:eastAsia="georgia" w:cs="georgia" w:ascii="georgia" w:hAnsi="georgia"/>
          <w:color w:val="000000"/>
          <w:sz w:val="21"/>
        </w:rPr>
        <w:t xml:space="preserve">Add solvent slowly down the vial wall and gently swirl until fully dissolved; avoid vigorous shaking or foaming.</w:t>
      </w:r>
    </w:p>
    <w:p>
      <w:pPr>
        <w:numPr>
          <w:ilvl w:val="0"/>
          <w:numId w:val="5"/>
        </w:numPr>
        <w:spacing w:line="360" w:before="105" w:after="105" w:lineRule="auto"/>
      </w:pPr>
      <w:r>
        <w:rPr>
          <w:rFonts w:eastAsia="georgia" w:cs="georgia" w:ascii="georgia" w:hAnsi="georgia"/>
          <w:color w:val="000000"/>
          <w:sz w:val="21"/>
        </w:rPr>
        <w:t xml:space="preserve">Record solvent type, final concentration, and date of preparation for each batch.</w:t>
      </w:r>
    </w:p>
    <w:p>
      <w:pPr>
        <w:spacing w:line="360" w:before="315" w:after="105" w:lineRule="auto"/>
        <w:ind w:left="-30"/>
        <w:jc w:val="left"/>
      </w:pPr>
      <w:bookmarkStart w:id="12" w:name="reconstituted_solutions"/>
      <w:r>
        <w:rPr>
          <w:rFonts w:eastAsia="georgia" w:cs="georgia" w:ascii="georgia" w:hAnsi="georgia"/>
          <w:b/>
          <w:color w:val="000000"/>
          <w:sz w:val="24"/>
        </w:rPr>
        <w:t xml:space="preserve">Reconstituted solutions</w:t>
      </w:r>
      <w:bookmarkEnd w:id="12"/>
    </w:p>
    <w:p>
      <w:pPr>
        <w:numPr>
          <w:ilvl w:val="0"/>
          <w:numId w:val="6"/>
        </w:numPr>
        <w:spacing w:line="360" w:before="105" w:after="105" w:lineRule="auto"/>
      </w:pPr>
      <w:r>
        <w:rPr>
          <w:rFonts w:eastAsia="georgia" w:cs="georgia" w:ascii="georgia" w:hAnsi="georgia"/>
          <w:color w:val="000000"/>
          <w:sz w:val="21"/>
        </w:rPr>
        <w:t xml:space="preserve">For short‑term use, store at 2–8 °C, protected from light, and use within a defined window set by internal stability data.</w:t>
      </w:r>
    </w:p>
    <w:p>
      <w:pPr>
        <w:numPr>
          <w:ilvl w:val="0"/>
          <w:numId w:val="6"/>
        </w:numPr>
        <w:spacing w:line="360" w:before="105" w:after="105" w:lineRule="auto"/>
      </w:pPr>
      <w:r>
        <w:rPr>
          <w:rFonts w:eastAsia="georgia" w:cs="georgia" w:ascii="georgia" w:hAnsi="georgia"/>
          <w:color w:val="000000"/>
          <w:sz w:val="21"/>
        </w:rPr>
        <w:t xml:space="preserve">For extended use, aliquot into sterile, light‑protected tubes and freeze at −20 °C, avoiding repeated freeze–thaw cycles.</w:t>
      </w:r>
    </w:p>
    <w:p>
      <w:pPr>
        <w:numPr>
          <w:ilvl w:val="0"/>
          <w:numId w:val="6"/>
        </w:numPr>
        <w:spacing w:line="360" w:before="105" w:after="105" w:lineRule="auto"/>
      </w:pPr>
      <w:r>
        <w:rPr>
          <w:rFonts w:eastAsia="georgia" w:cs="georgia" w:ascii="georgia" w:hAnsi="georgia"/>
          <w:color w:val="000000"/>
          <w:sz w:val="21"/>
        </w:rPr>
        <w:t xml:space="preserve">Discard solutions that show turbidity, particulates, or other signs of degradation.</w:t>
      </w:r>
    </w:p>
    <w:p>
      <w:pPr>
        <w:spacing w:line="360" w:after="210" w:lineRule="auto"/>
      </w:pPr>
      <w:r>
        <w:rPr>
          <w:rFonts w:eastAsia="georgia" w:cs="georgia" w:ascii="georgia" w:hAnsi="georgia"/>
          <w:color w:val="000000"/>
        </w:rPr>
        <w:t xml:space="preserve">Laboratories should verify stability and performance under their own conditions and follow institutional peptide‑handling SOPs.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analytical_quality_and_documentation"/>
      <w:r>
        <w:rPr>
          <w:rFonts w:eastAsia="georgia" w:cs="georgia" w:ascii="georgia" w:hAnsi="georgia"/>
          <w:b/>
          <w:color w:val="000000"/>
          <w:sz w:val="24"/>
        </w:rPr>
        <w:t xml:space="preserve">Analytical quality and documentation</w:t>
      </w:r>
      <w:bookmarkEnd w:id="13"/>
    </w:p>
    <w:p>
      <w:pPr>
        <w:spacing w:line="360" w:after="210" w:lineRule="auto"/>
      </w:pPr>
      <w:r>
        <w:rPr>
          <w:rFonts w:eastAsia="georgia" w:cs="georgia" w:ascii="georgia" w:hAnsi="georgia"/>
          <w:color w:val="000000"/>
        </w:rPr>
        <w:t xml:space="preserve">Research‑grade KPV typically undergoes the following quality checks:</w:t>
      </w:r>
    </w:p>
    <w:p>
      <w:pPr>
        <w:numPr>
          <w:ilvl w:val="0"/>
          <w:numId w:val="7"/>
        </w:numPr>
        <w:spacing w:line="360" w:before="105" w:after="105" w:lineRule="auto"/>
      </w:pPr>
      <w:r>
        <w:rPr>
          <w:rFonts w:eastAsia="georgia" w:cs="georgia" w:ascii="georgia" w:hAnsi="georgia"/>
          <w:b/>
          <w:color w:val="000000"/>
          <w:sz w:val="21"/>
        </w:rPr>
        <w:t xml:space="preserve">Purity</w:t>
      </w:r>
    </w:p>
    <w:p>
      <w:pPr>
        <w:numPr>
          <w:ilvl w:val="1"/>
          <w:numId w:val="7"/>
        </w:numPr>
        <w:spacing w:line="360" w:before="105" w:after="105" w:lineRule="auto"/>
      </w:pPr>
      <w:r>
        <w:rPr>
          <w:rFonts w:eastAsia="georgia" w:cs="georgia" w:ascii="georgia" w:hAnsi="georgia"/>
          <w:color w:val="000000"/>
          <w:sz w:val="21"/>
        </w:rPr>
        <w:t xml:space="preserve">Reversed‑phase HPLC confirming high peptide purity (often ≥98–99%) with low levels of related sequences and process impurities.[web:220][web:226][web:229]</w:t>
      </w:r>
    </w:p>
    <w:p>
      <w:pPr>
        <w:numPr>
          <w:ilvl w:val="0"/>
          <w:numId w:val="7"/>
        </w:numPr>
        <w:spacing w:line="360" w:before="105" w:after="105" w:lineRule="auto"/>
      </w:pPr>
      <w:r>
        <w:rPr>
          <w:rFonts w:eastAsia="georgia" w:cs="georgia" w:ascii="georgia" w:hAnsi="georgia"/>
          <w:b/>
          <w:color w:val="000000"/>
          <w:sz w:val="21"/>
        </w:rPr>
        <w:t xml:space="preserve">Identity</w:t>
      </w:r>
    </w:p>
    <w:p>
      <w:pPr>
        <w:numPr>
          <w:ilvl w:val="1"/>
          <w:numId w:val="7"/>
        </w:numPr>
        <w:spacing w:line="360" w:before="105" w:after="105" w:lineRule="auto"/>
      </w:pPr>
      <w:r>
        <w:rPr>
          <w:rFonts w:eastAsia="georgia" w:cs="georgia" w:ascii="georgia" w:hAnsi="georgia"/>
          <w:color w:val="000000"/>
          <w:sz w:val="21"/>
        </w:rPr>
        <w:t xml:space="preserve">Mass spectrometry verifying molecular weight consistent with the KPV tripeptide.</w:t>
      </w:r>
    </w:p>
    <w:p>
      <w:pPr>
        <w:numPr>
          <w:ilvl w:val="1"/>
          <w:numId w:val="7"/>
        </w:numPr>
        <w:spacing w:line="360" w:before="105" w:after="105" w:lineRule="auto"/>
      </w:pPr>
      <w:r>
        <w:rPr>
          <w:rFonts w:eastAsia="georgia" w:cs="georgia" w:ascii="georgia" w:hAnsi="georgia"/>
          <w:color w:val="000000"/>
          <w:sz w:val="21"/>
        </w:rPr>
        <w:t xml:space="preserve">Amino‑acid analysis or sequencing confirming Lys‑Pro‑Val composition.[web:220][web:226]</w:t>
      </w:r>
    </w:p>
    <w:p>
      <w:pPr>
        <w:numPr>
          <w:ilvl w:val="0"/>
          <w:numId w:val="7"/>
        </w:numPr>
        <w:spacing w:line="360" w:before="105" w:after="105" w:lineRule="auto"/>
      </w:pPr>
      <w:r>
        <w:rPr>
          <w:rFonts w:eastAsia="georgia" w:cs="georgia" w:ascii="georgia" w:hAnsi="georgia"/>
          <w:b/>
          <w:color w:val="000000"/>
          <w:sz w:val="21"/>
        </w:rPr>
        <w:t xml:space="preserve">Additional testing</w:t>
      </w:r>
    </w:p>
    <w:p>
      <w:pPr>
        <w:numPr>
          <w:ilvl w:val="1"/>
          <w:numId w:val="7"/>
        </w:numPr>
        <w:spacing w:line="360" w:before="105" w:after="105" w:lineRule="auto"/>
      </w:pPr>
      <w:r>
        <w:rPr>
          <w:rFonts w:eastAsia="georgia" w:cs="georgia" w:ascii="georgia" w:hAnsi="georgia"/>
          <w:color w:val="000000"/>
          <w:sz w:val="21"/>
        </w:rPr>
        <w:t xml:space="preserve">Residual solvents, water content, and inorganic impurities.</w:t>
      </w:r>
    </w:p>
    <w:p>
      <w:pPr>
        <w:numPr>
          <w:ilvl w:val="1"/>
          <w:numId w:val="7"/>
        </w:numPr>
        <w:spacing w:line="360" w:before="105" w:after="105" w:lineRule="auto"/>
      </w:pPr>
      <w:r>
        <w:rPr>
          <w:rFonts w:eastAsia="georgia" w:cs="georgia" w:ascii="georgia" w:hAnsi="georgia"/>
          <w:color w:val="000000"/>
          <w:sz w:val="21"/>
        </w:rPr>
        <w:t xml:space="preserve">Microbial and endotoxin testing suitable for research‑grade peptides.[web:226][web:229]</w:t>
      </w:r>
    </w:p>
    <w:p>
      <w:pPr>
        <w:spacing w:line="360" w:after="210" w:lineRule="auto"/>
      </w:pPr>
      <w:r>
        <w:rPr>
          <w:rFonts w:eastAsia="georgia" w:cs="georgia" w:ascii="georgia" w:hAnsi="georgia"/>
          <w:color w:val="000000"/>
        </w:rPr>
        <w:t xml:space="preserve">Batch‑specific Certificates of Analysis (COAs) document methods, acceptance criteria, and results and should be consulted before critical experiments.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search_use_only_and_safety_notice"/>
      <w:r>
        <w:rPr>
          <w:rFonts w:eastAsia="georgia" w:cs="georgia" w:ascii="georgia" w:hAnsi="georgia"/>
          <w:b/>
          <w:color w:val="000000"/>
          <w:sz w:val="24"/>
        </w:rPr>
        <w:t xml:space="preserve">Research‑use‑only and safety notice</w:t>
      </w:r>
      <w:bookmarkEnd w:id="14"/>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KPV 10 mg is supplied solely as a research peptide for in‑vitro studies and preclinical animal models under appropriate institutional oversight. It is not manufactured, tested, or approved as a drug, cosmetic ingredient, or dietary product and must not be used for diagnosis, treatment, or prevention of any disease.[web:222][web:226][web:229]</w:t>
      </w:r>
    </w:p>
    <w:p>
      <w:pPr>
        <w:spacing w:line="360" w:after="210" w:lineRule="auto"/>
        <w:ind w:left="630"/>
      </w:pPr>
      <w:r>
        <w:rPr>
          <w:rFonts w:eastAsia="georgia" w:cs="georgia" w:ascii="georgia" w:hAnsi="georgia"/>
          <w:color w:val="000000"/>
        </w:rPr>
        <w:t xml:space="preserve">This peptide must not be administered to humans or animals outside properly reviewed research protocols. All work should follow local regulations, institutional biosafety guidance, and good laboratory practice, including appropriate personal protective equipment and disposal of peptide‑containing materials as laboratory chemical/biological waste.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2026-04-30T12:27:18.211Z</dcterms:created>
  <dcterms:modified xsi:type="dcterms:W3CDTF">2026-04-30T12:27:18.211Z</dcterms:modified>
</cp:coreProperties>
</file>