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l_carnitine_600_mg_fatty_acid_tra_1540d8"/>
      <w:r>
        <w:rPr>
          <w:rFonts w:eastAsia="georgia" w:cs="georgia" w:ascii="georgia" w:hAnsi="georgia"/>
          <w:b/>
          <w:color w:val="000000"/>
          <w:sz w:val="39"/>
        </w:rPr>
        <w:t xml:space="preserve">L‑Carnitine 600 mg – Fatty Acid Transport and Mitochondrial Metabolism Research Grade Compound</w:t>
      </w:r>
      <w:bookmarkEnd w:id="0"/>
    </w:p>
    <w:p>
      <w:pPr>
        <w:spacing w:line="360" w:before="315" w:after="105" w:lineRule="auto"/>
        <w:ind w:left="-30"/>
        <w:jc w:val="left"/>
      </w:pPr>
      <w:bookmarkStart w:id="1" w:name="product_overview"/>
      <w:r>
        <w:rPr>
          <w:rFonts w:eastAsia="georgia" w:cs="georgia" w:ascii="georgia" w:hAnsi="georgia"/>
          <w:b/>
          <w:color w:val="000000"/>
          <w:sz w:val="24"/>
        </w:rPr>
        <w:t xml:space="preserve">Product overview</w:t>
      </w:r>
      <w:bookmarkEnd w:id="1"/>
    </w:p>
    <w:p>
      <w:pPr>
        <w:spacing w:line="360" w:after="210" w:lineRule="auto"/>
      </w:pPr>
      <w:r>
        <w:rPr>
          <w:rFonts w:eastAsia="georgia" w:cs="georgia" w:ascii="georgia" w:hAnsi="georgia"/>
          <w:color w:val="000000"/>
        </w:rPr>
        <w:t xml:space="preserve">L‑Carnitine is a naturally occurring quaternary ammonium compound (β‑hydroxy‑γ‑N‑trimethylaminobutyric acid) biosynthesised from lysine and methionine and present in most mammalian tissues.[web:202][web:205][web:211] As a zwitterionic small molecule, it plays a central role in mitochondrial fatty acid β‑oxidation by enabling long‑chain acyl‑CoA esters to cross the inner mitochondrial membrane via the carnitine shuttle system (CPT I, carnitine–acylcarnitine translocase, CPT II).[web:203][web:206][web:212]</w:t>
      </w:r>
    </w:p>
    <w:p>
      <w:pPr>
        <w:spacing w:line="360" w:after="210" w:lineRule="auto"/>
      </w:pPr>
      <w:r>
        <w:rPr>
          <w:rFonts w:eastAsia="georgia" w:cs="georgia" w:ascii="georgia" w:hAnsi="georgia"/>
          <w:color w:val="000000"/>
        </w:rPr>
        <w:t xml:space="preserve">The L‑Carnitine 600 mg format provides a versatile quantity of high‑purity crystalline material suitable for studies of energy metabolism, lipid utilisation, mitochondrial function, oxidative stress, and age‑related metabolic decline in cell culture, isolated organ preparations, and small‑animal models. This material is intended strictly for laboratory research use and is not approved for human or veterinary consumption.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quick_product_snapshot"/>
      <w:r>
        <w:rPr>
          <w:rFonts w:eastAsia="georgia" w:cs="georgia" w:ascii="georgia" w:hAnsi="georgia"/>
          <w:b/>
          <w:color w:val="000000"/>
          <w:sz w:val="24"/>
        </w:rPr>
        <w:t xml:space="preserve">Quick product snapshot</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L‑Carnitine 600 mg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Chemical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Quaternary ammonium compound; amino acid derivative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Content per vial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600 mg L‑Carnitine (research grade)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Molecular formula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C₇H₁₅NO₃</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Molecular weight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~161.2 g/mol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 number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541‑15‑1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PubChem CID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10917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Ionisation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Zwitterion at physiological pH (trimethylammonium + carboxylate)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Appearance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White to off‑white crystalline powder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Solubility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Freely soluble in water; limited solubility in many organics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Storage (dry)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2–8 °C for routine use; −20 °C for extended storage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Intended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In‑vitro and preclinical research only</w:t>
            </w:r>
          </w:p>
        </w:tc>
      </w:tr>
    </w:tbl>
    <w:p>
      <w:pPr>
        <w:spacing w:lineRule="auto"/>
      </w:pPr>
    </w:p>
    <w:p>
      <w:pPr>
        <w:spacing w:line="360" w:after="210" w:lineRule="auto"/>
      </w:pPr>
      <w:r>
        <w:rPr>
          <w:rFonts w:eastAsia="georgia" w:cs="georgia" w:ascii="georgia" w:hAnsi="georgia"/>
          <w:color w:val="000000"/>
        </w:rPr>
        <w:t xml:space="preserve">These identifiers and physicochemical properties align with widely cited references for L‑Carnitine.[web:202][web:205][web:208][web:214]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identity_and_structure"/>
      <w:r>
        <w:rPr>
          <w:rFonts w:eastAsia="georgia" w:cs="georgia" w:ascii="georgia" w:hAnsi="georgia"/>
          <w:b/>
          <w:color w:val="000000"/>
          <w:sz w:val="24"/>
        </w:rPr>
        <w:t xml:space="preserve">Identity and structure</w:t>
      </w:r>
      <w:bookmarkEnd w:id="3"/>
    </w:p>
    <w:p>
      <w:pPr>
        <w:spacing w:line="360" w:after="210" w:lineRule="auto"/>
      </w:pPr>
      <w:r>
        <w:rPr>
          <w:rFonts w:eastAsia="georgia" w:cs="georgia" w:ascii="georgia" w:hAnsi="georgia"/>
          <w:color w:val="000000"/>
        </w:rPr>
        <w:t xml:space="preserve">L‑Carnitine is the biologically active L‑enantiomer of carnitine, a small molecule classified as a carnitine‑family quaternary ammonium compound.[web:202][web:208][web:211][web:214] Its structure features a trimethylated ammonium group, a hydroxyl group, and a terminal carboxylate, giving a zwitterionic configuration in aqueous solution.</w:t>
      </w:r>
    </w:p>
    <w:p>
      <w:pPr>
        <w:spacing w:line="360" w:after="210" w:lineRule="auto"/>
      </w:pPr>
      <w:r>
        <w:rPr>
          <w:rFonts w:eastAsia="georgia" w:cs="georgia" w:ascii="georgia" w:hAnsi="georgia"/>
          <w:color w:val="000000"/>
        </w:rPr>
        <w:t xml:space="preserve">Key identity points:</w:t>
      </w:r>
    </w:p>
    <w:p>
      <w:pPr>
        <w:numPr>
          <w:ilvl w:val="0"/>
          <w:numId w:val="1"/>
        </w:numPr>
        <w:spacing w:line="360" w:before="105" w:after="105" w:lineRule="auto"/>
      </w:pPr>
      <w:r>
        <w:rPr>
          <w:rFonts w:eastAsia="georgia" w:cs="georgia" w:ascii="georgia" w:hAnsi="georgia"/>
          <w:color w:val="000000"/>
          <w:sz w:val="21"/>
        </w:rPr>
        <w:t xml:space="preserve">IUPAC name: (3R)‑3‑hydroxy‑4‑(trimethylazaniumyl)butanoate.[web:208][web:214]</w:t>
      </w:r>
    </w:p>
    <w:p>
      <w:pPr>
        <w:numPr>
          <w:ilvl w:val="0"/>
          <w:numId w:val="1"/>
        </w:numPr>
        <w:spacing w:line="360" w:before="105" w:after="105" w:lineRule="auto"/>
      </w:pPr>
      <w:r>
        <w:rPr>
          <w:rFonts w:eastAsia="georgia" w:cs="georgia" w:ascii="georgia" w:hAnsi="georgia"/>
          <w:color w:val="000000"/>
          <w:sz w:val="21"/>
        </w:rPr>
        <w:t xml:space="preserve">Molecular formula: C₇H₁₅NO₃; molecular weight ≈ 161.2 g/mol.[web:202][web:208][web:214]</w:t>
      </w:r>
    </w:p>
    <w:p>
      <w:pPr>
        <w:numPr>
          <w:ilvl w:val="0"/>
          <w:numId w:val="1"/>
        </w:numPr>
        <w:spacing w:line="360" w:before="105" w:after="105" w:lineRule="auto"/>
      </w:pPr>
      <w:r>
        <w:rPr>
          <w:rFonts w:eastAsia="georgia" w:cs="georgia" w:ascii="georgia" w:hAnsi="georgia"/>
          <w:color w:val="000000"/>
          <w:sz w:val="21"/>
        </w:rPr>
        <w:t xml:space="preserve">Charge state: zwitterion at neutral pH, with a positively charged quaternary ammonium and negatively charged carboxylate. This charge profile underlies dependence on specific transporters such as OCTN2 for cellular uptake.[web:209][web:211]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cientific_background_non_clinical"/>
      <w:r>
        <w:rPr>
          <w:rFonts w:eastAsia="georgia" w:cs="georgia" w:ascii="georgia" w:hAnsi="georgia"/>
          <w:b/>
          <w:color w:val="000000"/>
          <w:sz w:val="24"/>
        </w:rPr>
        <w:t xml:space="preserve">Scientific background (non‑clinical)</w:t>
      </w:r>
      <w:bookmarkEnd w:id="4"/>
    </w:p>
    <w:p>
      <w:pPr>
        <w:spacing w:line="360" w:before="315" w:after="105" w:lineRule="auto"/>
        <w:ind w:left="-30"/>
        <w:jc w:val="left"/>
      </w:pPr>
      <w:bookmarkStart w:id="5" w:name="role_in_mitochondrial_fatty_acid_dc9a27"/>
      <w:r>
        <w:rPr>
          <w:rFonts w:eastAsia="georgia" w:cs="georgia" w:ascii="georgia" w:hAnsi="georgia"/>
          <w:b/>
          <w:color w:val="000000"/>
          <w:sz w:val="24"/>
        </w:rPr>
        <w:t xml:space="preserve">Role in mitochondrial fatty acid transport</w:t>
      </w:r>
      <w:bookmarkEnd w:id="5"/>
    </w:p>
    <w:p>
      <w:pPr>
        <w:spacing w:line="360" w:after="210" w:lineRule="auto"/>
      </w:pPr>
      <w:r>
        <w:rPr>
          <w:rFonts w:eastAsia="georgia" w:cs="georgia" w:ascii="georgia" w:hAnsi="georgia"/>
          <w:color w:val="000000"/>
        </w:rPr>
        <w:t xml:space="preserve">L‑Carnitine is essential for the transport of long‑chain fatty acids into the mitochondrial matrix, where they undergo β‑oxidation for ATP production.[web:203][web:206][web:212] Because the inner mitochondrial membrane is impermeable to long‑chain acyl‑CoA esters, L‑Carnitine forms acylcarnitine intermediates that can be shuttled across via the CPT/CACT system.</w:t>
      </w:r>
    </w:p>
    <w:p>
      <w:pPr>
        <w:spacing w:line="360" w:after="210" w:lineRule="auto"/>
      </w:pPr>
      <w:r>
        <w:rPr>
          <w:rFonts w:eastAsia="georgia" w:cs="georgia" w:ascii="georgia" w:hAnsi="georgia"/>
          <w:color w:val="000000"/>
        </w:rPr>
        <w:t xml:space="preserve">In this shuttle:</w:t>
      </w:r>
    </w:p>
    <w:p>
      <w:pPr>
        <w:numPr>
          <w:ilvl w:val="0"/>
          <w:numId w:val="2"/>
        </w:numPr>
        <w:spacing w:line="360" w:before="105" w:after="105" w:lineRule="auto"/>
      </w:pPr>
      <w:r>
        <w:rPr>
          <w:rFonts w:eastAsia="georgia" w:cs="georgia" w:ascii="georgia" w:hAnsi="georgia"/>
          <w:color w:val="000000"/>
          <w:sz w:val="21"/>
        </w:rPr>
        <w:t xml:space="preserve">CPT I on the outer mitochondrial membrane transfers acyl groups from acyl‑CoA to L‑Carnitine, forming acylcarnitine.[web:203][web:215]</w:t>
      </w:r>
    </w:p>
    <w:p>
      <w:pPr>
        <w:numPr>
          <w:ilvl w:val="0"/>
          <w:numId w:val="2"/>
        </w:numPr>
        <w:spacing w:line="360" w:before="105" w:after="105" w:lineRule="auto"/>
      </w:pPr>
      <w:r>
        <w:rPr>
          <w:rFonts w:eastAsia="georgia" w:cs="georgia" w:ascii="georgia" w:hAnsi="georgia"/>
          <w:color w:val="000000"/>
          <w:sz w:val="21"/>
        </w:rPr>
        <w:t xml:space="preserve">Carnitine–acylcarnitine translocase exchanges matrix L‑Carnitine for intermembrane acylcarnitine.</w:t>
      </w:r>
    </w:p>
    <w:p>
      <w:pPr>
        <w:numPr>
          <w:ilvl w:val="0"/>
          <w:numId w:val="2"/>
        </w:numPr>
        <w:spacing w:line="360" w:before="105" w:after="105" w:lineRule="auto"/>
      </w:pPr>
      <w:r>
        <w:rPr>
          <w:rFonts w:eastAsia="georgia" w:cs="georgia" w:ascii="georgia" w:hAnsi="georgia"/>
          <w:color w:val="000000"/>
          <w:sz w:val="21"/>
        </w:rPr>
        <w:t xml:space="preserve">CPT II regenerates acyl‑CoA in the matrix and releases free L‑Carnitine for another cycle.[web:203][web:206]</w:t>
      </w:r>
    </w:p>
    <w:p>
      <w:pPr>
        <w:spacing w:line="360" w:before="315" w:after="105" w:lineRule="auto"/>
        <w:ind w:left="-30"/>
        <w:jc w:val="left"/>
      </w:pPr>
      <w:bookmarkStart w:id="6" w:name="additional_metabolic_roles"/>
      <w:r>
        <w:rPr>
          <w:rFonts w:eastAsia="georgia" w:cs="georgia" w:ascii="georgia" w:hAnsi="georgia"/>
          <w:b/>
          <w:color w:val="000000"/>
          <w:sz w:val="24"/>
        </w:rPr>
        <w:t xml:space="preserve">Additional metabolic roles</w:t>
      </w:r>
      <w:bookmarkEnd w:id="6"/>
    </w:p>
    <w:p>
      <w:pPr>
        <w:spacing w:line="360" w:after="210" w:lineRule="auto"/>
      </w:pPr>
      <w:r>
        <w:rPr>
          <w:rFonts w:eastAsia="georgia" w:cs="georgia" w:ascii="georgia" w:hAnsi="georgia"/>
          <w:color w:val="000000"/>
        </w:rPr>
        <w:t xml:space="preserve">Beyond LCFA transport, L‑Carnitine contributes to:</w:t>
      </w:r>
    </w:p>
    <w:p>
      <w:pPr>
        <w:numPr>
          <w:ilvl w:val="0"/>
          <w:numId w:val="3"/>
        </w:numPr>
        <w:spacing w:line="360" w:before="105" w:after="105" w:lineRule="auto"/>
      </w:pPr>
      <w:r>
        <w:rPr>
          <w:rFonts w:eastAsia="georgia" w:cs="georgia" w:ascii="georgia" w:hAnsi="georgia"/>
          <w:color w:val="000000"/>
          <w:sz w:val="21"/>
        </w:rPr>
        <w:t xml:space="preserve">Buffering the acyl‑CoA/free CoA ratio in mitochondria.</w:t>
      </w:r>
    </w:p>
    <w:p>
      <w:pPr>
        <w:numPr>
          <w:ilvl w:val="0"/>
          <w:numId w:val="3"/>
        </w:numPr>
        <w:spacing w:line="360" w:before="105" w:after="105" w:lineRule="auto"/>
      </w:pPr>
      <w:r>
        <w:rPr>
          <w:rFonts w:eastAsia="georgia" w:cs="georgia" w:ascii="georgia" w:hAnsi="georgia"/>
          <w:color w:val="000000"/>
          <w:sz w:val="21"/>
        </w:rPr>
        <w:t xml:space="preserve">Exporting excess acyl groups via acylcarnitines.</w:t>
      </w:r>
    </w:p>
    <w:p>
      <w:pPr>
        <w:numPr>
          <w:ilvl w:val="0"/>
          <w:numId w:val="3"/>
        </w:numPr>
        <w:spacing w:line="360" w:before="105" w:after="105" w:lineRule="auto"/>
      </w:pPr>
      <w:r>
        <w:rPr>
          <w:rFonts w:eastAsia="georgia" w:cs="georgia" w:ascii="georgia" w:hAnsi="georgia"/>
          <w:color w:val="000000"/>
          <w:sz w:val="21"/>
        </w:rPr>
        <w:t xml:space="preserve">Supporting peroxisomal–mitochondrial fatty acid handling.</w:t>
      </w:r>
    </w:p>
    <w:p>
      <w:pPr>
        <w:numPr>
          <w:ilvl w:val="0"/>
          <w:numId w:val="3"/>
        </w:numPr>
        <w:spacing w:line="360" w:before="105" w:after="105" w:lineRule="auto"/>
      </w:pPr>
      <w:r>
        <w:rPr>
          <w:rFonts w:eastAsia="georgia" w:cs="georgia" w:ascii="georgia" w:hAnsi="georgia"/>
          <w:color w:val="000000"/>
          <w:sz w:val="21"/>
        </w:rPr>
        <w:t xml:space="preserve">Influencing metabolic flexibility and substrate switching between carbohydrate and lipid oxidation.[web:202][web:205][web:212]</w:t>
      </w:r>
    </w:p>
    <w:p>
      <w:pPr>
        <w:spacing w:line="360" w:after="210" w:lineRule="auto"/>
      </w:pPr>
      <w:r>
        <w:rPr>
          <w:rFonts w:eastAsia="georgia" w:cs="georgia" w:ascii="georgia" w:hAnsi="georgia"/>
          <w:color w:val="000000"/>
        </w:rPr>
        <w:t xml:space="preserve">These properties make L‑Carnitine a widely used probe in metabolism, mitochondrial biology, and exercise physiology research.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600_mg_format_in_research_workflows"/>
      <w:r>
        <w:rPr>
          <w:rFonts w:eastAsia="georgia" w:cs="georgia" w:ascii="georgia" w:hAnsi="georgia"/>
          <w:b/>
          <w:color w:val="000000"/>
          <w:sz w:val="24"/>
        </w:rPr>
        <w:t xml:space="preserve">600 mg format in research workflows</w:t>
      </w:r>
      <w:bookmarkEnd w:id="7"/>
    </w:p>
    <w:p>
      <w:pPr>
        <w:spacing w:line="360" w:after="210" w:lineRule="auto"/>
      </w:pPr>
      <w:r>
        <w:rPr>
          <w:rFonts w:eastAsia="georgia" w:cs="georgia" w:ascii="georgia" w:hAnsi="georgia"/>
          <w:color w:val="000000"/>
        </w:rPr>
        <w:t xml:space="preserve">The 600 mg configuration offers sufficient material for repeated experiments across multiple platforms:</w:t>
      </w:r>
    </w:p>
    <w:p>
      <w:pPr>
        <w:numPr>
          <w:ilvl w:val="0"/>
          <w:numId w:val="4"/>
        </w:numPr>
        <w:spacing w:line="360" w:before="105" w:after="105" w:lineRule="auto"/>
      </w:pPr>
      <w:r>
        <w:rPr>
          <w:rFonts w:eastAsia="georgia" w:cs="georgia" w:ascii="georgia" w:hAnsi="georgia"/>
          <w:color w:val="000000"/>
          <w:sz w:val="21"/>
        </w:rPr>
        <w:t xml:space="preserve">Supplementation in cell culture media for studies of fatty acid utilisation, lipid accumulation, and oxidative stress.</w:t>
      </w:r>
    </w:p>
    <w:p>
      <w:pPr>
        <w:numPr>
          <w:ilvl w:val="0"/>
          <w:numId w:val="4"/>
        </w:numPr>
        <w:spacing w:line="360" w:before="105" w:after="105" w:lineRule="auto"/>
      </w:pPr>
      <w:r>
        <w:rPr>
          <w:rFonts w:eastAsia="georgia" w:cs="georgia" w:ascii="georgia" w:hAnsi="georgia"/>
          <w:color w:val="000000"/>
          <w:sz w:val="21"/>
        </w:rPr>
        <w:t xml:space="preserve">Use in isolated mitochondria, tissue slices, or perfused organ systems focused on β‑oxidation and respiratory control.</w:t>
      </w:r>
    </w:p>
    <w:p>
      <w:pPr>
        <w:numPr>
          <w:ilvl w:val="0"/>
          <w:numId w:val="4"/>
        </w:numPr>
        <w:spacing w:line="360" w:before="105" w:after="105" w:lineRule="auto"/>
      </w:pPr>
      <w:r>
        <w:rPr>
          <w:rFonts w:eastAsia="georgia" w:cs="georgia" w:ascii="georgia" w:hAnsi="georgia"/>
          <w:color w:val="000000"/>
          <w:sz w:val="21"/>
        </w:rPr>
        <w:t xml:space="preserve">Dosing in small‑animal models investigating metabolic disease, exercise, or age‑related mitochondrial dysfunction.</w:t>
      </w:r>
    </w:p>
    <w:p>
      <w:pPr>
        <w:spacing w:line="360" w:after="210" w:lineRule="auto"/>
      </w:pPr>
      <w:r>
        <w:rPr>
          <w:rFonts w:eastAsia="georgia" w:cs="georgia" w:ascii="georgia" w:hAnsi="georgia"/>
          <w:color w:val="000000"/>
        </w:rPr>
        <w:t xml:space="preserve">Researchers can prepare concentrated aqueous stock solutions and dilute to application‑specific working concentrations.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handling_reconstitution_and_storage"/>
      <w:r>
        <w:rPr>
          <w:rFonts w:eastAsia="georgia" w:cs="georgia" w:ascii="georgia" w:hAnsi="georgia"/>
          <w:b/>
          <w:color w:val="000000"/>
          <w:sz w:val="24"/>
        </w:rPr>
        <w:t xml:space="preserve">Handling, reconstitution, and storage</w:t>
      </w:r>
      <w:bookmarkEnd w:id="8"/>
    </w:p>
    <w:p>
      <w:pPr>
        <w:spacing w:line="360" w:before="315" w:after="105" w:lineRule="auto"/>
        <w:ind w:left="-30"/>
        <w:jc w:val="left"/>
      </w:pPr>
      <w:bookmarkStart w:id="9" w:name="dry_powder_handling"/>
      <w:r>
        <w:rPr>
          <w:rFonts w:eastAsia="georgia" w:cs="georgia" w:ascii="georgia" w:hAnsi="georgia"/>
          <w:b/>
          <w:color w:val="000000"/>
          <w:sz w:val="24"/>
        </w:rPr>
        <w:t xml:space="preserve">Dry powder handling</w:t>
      </w:r>
      <w:bookmarkEnd w:id="9"/>
    </w:p>
    <w:p>
      <w:pPr>
        <w:numPr>
          <w:ilvl w:val="0"/>
          <w:numId w:val="5"/>
        </w:numPr>
        <w:spacing w:line="360" w:before="105" w:after="105" w:lineRule="auto"/>
      </w:pPr>
      <w:r>
        <w:rPr>
          <w:rFonts w:eastAsia="georgia" w:cs="georgia" w:ascii="georgia" w:hAnsi="georgia"/>
          <w:color w:val="000000"/>
          <w:sz w:val="21"/>
        </w:rPr>
        <w:t xml:space="preserve">Store unopened containers at 2–8 °C in a dry, closed container; for long‑term storage, −20 °C is commonly used.[web:208][web:210][web:216]</w:t>
      </w:r>
    </w:p>
    <w:p>
      <w:pPr>
        <w:numPr>
          <w:ilvl w:val="0"/>
          <w:numId w:val="5"/>
        </w:numPr>
        <w:spacing w:line="360" w:before="105" w:after="105" w:lineRule="auto"/>
      </w:pPr>
      <w:r>
        <w:rPr>
          <w:rFonts w:eastAsia="georgia" w:cs="georgia" w:ascii="georgia" w:hAnsi="georgia"/>
          <w:color w:val="000000"/>
          <w:sz w:val="21"/>
        </w:rPr>
        <w:t xml:space="preserve">Protect from excessive humidity because L‑Carnitine is hygroscopic.</w:t>
      </w:r>
    </w:p>
    <w:p>
      <w:pPr>
        <w:numPr>
          <w:ilvl w:val="0"/>
          <w:numId w:val="5"/>
        </w:numPr>
        <w:spacing w:line="360" w:before="105" w:after="105" w:lineRule="auto"/>
      </w:pPr>
      <w:r>
        <w:rPr>
          <w:rFonts w:eastAsia="georgia" w:cs="georgia" w:ascii="georgia" w:hAnsi="georgia"/>
          <w:color w:val="000000"/>
          <w:sz w:val="21"/>
        </w:rPr>
        <w:t xml:space="preserve">Minimise repeated opening and closing of vials.</w:t>
      </w:r>
    </w:p>
    <w:p>
      <w:pPr>
        <w:spacing w:line="360" w:before="315" w:after="105" w:lineRule="auto"/>
        <w:ind w:left="-30"/>
        <w:jc w:val="left"/>
      </w:pPr>
      <w:bookmarkStart w:id="10" w:name="reconstitution"/>
      <w:r>
        <w:rPr>
          <w:rFonts w:eastAsia="georgia" w:cs="georgia" w:ascii="georgia" w:hAnsi="georgia"/>
          <w:b/>
          <w:color w:val="000000"/>
          <w:sz w:val="24"/>
        </w:rPr>
        <w:t xml:space="preserve">Reconstitution</w:t>
      </w:r>
      <w:bookmarkEnd w:id="10"/>
    </w:p>
    <w:p>
      <w:pPr>
        <w:numPr>
          <w:ilvl w:val="0"/>
          <w:numId w:val="6"/>
        </w:numPr>
        <w:spacing w:line="360" w:before="105" w:after="105" w:lineRule="auto"/>
      </w:pPr>
      <w:r>
        <w:rPr>
          <w:rFonts w:eastAsia="georgia" w:cs="georgia" w:ascii="georgia" w:hAnsi="georgia"/>
          <w:color w:val="000000"/>
          <w:sz w:val="21"/>
        </w:rPr>
        <w:t xml:space="preserve">L‑Carnitine is freely soluble in water and aqueous buffers; typical solubilities of hundreds of mg/mL have been reported, though working solutions are usually much lower.[web:204][web:208][web:210]</w:t>
      </w:r>
    </w:p>
    <w:p>
      <w:pPr>
        <w:numPr>
          <w:ilvl w:val="0"/>
          <w:numId w:val="6"/>
        </w:numPr>
        <w:spacing w:line="360" w:before="105" w:after="105" w:lineRule="auto"/>
      </w:pPr>
      <w:r>
        <w:rPr>
          <w:rFonts w:eastAsia="georgia" w:cs="georgia" w:ascii="georgia" w:hAnsi="georgia"/>
          <w:color w:val="000000"/>
          <w:sz w:val="21"/>
        </w:rPr>
        <w:t xml:space="preserve">Prepare stock solutions using sterile water, PBS, or appropriate culture media under aseptic conditions.</w:t>
      </w:r>
    </w:p>
    <w:p>
      <w:pPr>
        <w:numPr>
          <w:ilvl w:val="0"/>
          <w:numId w:val="6"/>
        </w:numPr>
        <w:spacing w:line="360" w:before="105" w:after="105" w:lineRule="auto"/>
      </w:pPr>
      <w:r>
        <w:rPr>
          <w:rFonts w:eastAsia="georgia" w:cs="georgia" w:ascii="georgia" w:hAnsi="georgia"/>
          <w:color w:val="000000"/>
          <w:sz w:val="21"/>
        </w:rPr>
        <w:t xml:space="preserve">Mix gently until fully dissolved; filtration through a 0.22 µm membrane is recommended for cell‑culture use.</w:t>
      </w:r>
    </w:p>
    <w:p>
      <w:pPr>
        <w:spacing w:line="360" w:before="315" w:after="105" w:lineRule="auto"/>
        <w:ind w:left="-30"/>
        <w:jc w:val="left"/>
      </w:pPr>
      <w:bookmarkStart w:id="11" w:name="reconstituted_solutions"/>
      <w:r>
        <w:rPr>
          <w:rFonts w:eastAsia="georgia" w:cs="georgia" w:ascii="georgia" w:hAnsi="georgia"/>
          <w:b/>
          <w:color w:val="000000"/>
          <w:sz w:val="24"/>
        </w:rPr>
        <w:t xml:space="preserve">Reconstituted solutions</w:t>
      </w:r>
      <w:bookmarkEnd w:id="11"/>
    </w:p>
    <w:p>
      <w:pPr>
        <w:numPr>
          <w:ilvl w:val="0"/>
          <w:numId w:val="7"/>
        </w:numPr>
        <w:spacing w:line="360" w:before="105" w:after="105" w:lineRule="auto"/>
      </w:pPr>
      <w:r>
        <w:rPr>
          <w:rFonts w:eastAsia="georgia" w:cs="georgia" w:ascii="georgia" w:hAnsi="georgia"/>
          <w:color w:val="000000"/>
          <w:sz w:val="21"/>
        </w:rPr>
        <w:t xml:space="preserve">Short‑term storage at 2–8 °C is suitable for working solutions when used within a defined time window.</w:t>
      </w:r>
    </w:p>
    <w:p>
      <w:pPr>
        <w:numPr>
          <w:ilvl w:val="0"/>
          <w:numId w:val="7"/>
        </w:numPr>
        <w:spacing w:line="360" w:before="105" w:after="105" w:lineRule="auto"/>
      </w:pPr>
      <w:r>
        <w:rPr>
          <w:rFonts w:eastAsia="georgia" w:cs="georgia" w:ascii="georgia" w:hAnsi="georgia"/>
          <w:color w:val="000000"/>
          <w:sz w:val="21"/>
        </w:rPr>
        <w:t xml:space="preserve">For extended use, aliquot and store at −20 °C, avoiding unnecessary freeze–thaw cycles even though L‑Carnitine is relatively stable as a small molecule.[web:207][web:213]</w:t>
      </w:r>
    </w:p>
    <w:p>
      <w:pPr>
        <w:numPr>
          <w:ilvl w:val="0"/>
          <w:numId w:val="7"/>
        </w:numPr>
        <w:spacing w:line="360" w:before="105" w:after="105" w:lineRule="auto"/>
      </w:pPr>
      <w:r>
        <w:rPr>
          <w:rFonts w:eastAsia="georgia" w:cs="georgia" w:ascii="georgia" w:hAnsi="georgia"/>
          <w:color w:val="000000"/>
          <w:sz w:val="21"/>
        </w:rPr>
        <w:t xml:space="preserve">Discard solutions showing visible particulates or unexpected colour changes.</w:t>
      </w:r>
    </w:p>
    <w:p>
      <w:pPr>
        <w:spacing w:line="360" w:after="210" w:lineRule="auto"/>
      </w:pPr>
      <w:r>
        <w:rPr>
          <w:rFonts w:eastAsia="georgia" w:cs="georgia" w:ascii="georgia" w:hAnsi="georgia"/>
          <w:color w:val="000000"/>
        </w:rPr>
        <w:t xml:space="preserve">Each laboratory should validate stability and sterility under its own conditions and comply with institutional protocols.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analytical_quality_and_documentation"/>
      <w:r>
        <w:rPr>
          <w:rFonts w:eastAsia="georgia" w:cs="georgia" w:ascii="georgia" w:hAnsi="georgia"/>
          <w:b/>
          <w:color w:val="000000"/>
          <w:sz w:val="24"/>
        </w:rPr>
        <w:t xml:space="preserve">Analytical quality and documentation</w:t>
      </w:r>
      <w:bookmarkEnd w:id="12"/>
    </w:p>
    <w:p>
      <w:pPr>
        <w:spacing w:line="360" w:after="210" w:lineRule="auto"/>
      </w:pPr>
      <w:r>
        <w:rPr>
          <w:rFonts w:eastAsia="georgia" w:cs="georgia" w:ascii="georgia" w:hAnsi="georgia"/>
          <w:color w:val="000000"/>
        </w:rPr>
        <w:t xml:space="preserve">Research‑grade L‑Carnitine typically undergoes multi‑parameter quality control:</w:t>
      </w:r>
    </w:p>
    <w:p>
      <w:pPr>
        <w:numPr>
          <w:ilvl w:val="0"/>
          <w:numId w:val="8"/>
        </w:numPr>
        <w:spacing w:line="360" w:before="105" w:after="105" w:lineRule="auto"/>
      </w:pPr>
      <w:r>
        <w:rPr>
          <w:rFonts w:eastAsia="georgia" w:cs="georgia" w:ascii="georgia" w:hAnsi="georgia"/>
          <w:b/>
          <w:color w:val="000000"/>
          <w:sz w:val="21"/>
        </w:rPr>
        <w:t xml:space="preserve">Purity</w:t>
      </w:r>
    </w:p>
    <w:p>
      <w:pPr>
        <w:numPr>
          <w:ilvl w:val="1"/>
          <w:numId w:val="8"/>
        </w:numPr>
        <w:spacing w:line="360" w:before="105" w:after="105" w:lineRule="auto"/>
      </w:pPr>
      <w:r>
        <w:rPr>
          <w:rFonts w:eastAsia="georgia" w:cs="georgia" w:ascii="georgia" w:hAnsi="georgia"/>
          <w:color w:val="000000"/>
          <w:sz w:val="21"/>
        </w:rPr>
        <w:t xml:space="preserve">HPLC or ion‑exchange chromatography confirming high purity (often ≥98–99%) and low levels of related substances.[web:205][web:208][web:216]</w:t>
      </w:r>
    </w:p>
    <w:p>
      <w:pPr>
        <w:numPr>
          <w:ilvl w:val="0"/>
          <w:numId w:val="8"/>
        </w:numPr>
        <w:spacing w:line="360" w:before="105" w:after="105" w:lineRule="auto"/>
      </w:pPr>
      <w:r>
        <w:rPr>
          <w:rFonts w:eastAsia="georgia" w:cs="georgia" w:ascii="georgia" w:hAnsi="georgia"/>
          <w:b/>
          <w:color w:val="000000"/>
          <w:sz w:val="21"/>
        </w:rPr>
        <w:t xml:space="preserve">Identity</w:t>
      </w:r>
    </w:p>
    <w:p>
      <w:pPr>
        <w:numPr>
          <w:ilvl w:val="1"/>
          <w:numId w:val="8"/>
        </w:numPr>
        <w:spacing w:line="360" w:before="105" w:after="105" w:lineRule="auto"/>
      </w:pPr>
      <w:r>
        <w:rPr>
          <w:rFonts w:eastAsia="georgia" w:cs="georgia" w:ascii="georgia" w:hAnsi="georgia"/>
          <w:color w:val="000000"/>
          <w:sz w:val="21"/>
        </w:rPr>
        <w:t xml:space="preserve">Mass spectrometry verifying the expected molecular weight (~161.2 g/mol).</w:t>
      </w:r>
    </w:p>
    <w:p>
      <w:pPr>
        <w:numPr>
          <w:ilvl w:val="1"/>
          <w:numId w:val="8"/>
        </w:numPr>
        <w:spacing w:line="360" w:before="105" w:after="105" w:lineRule="auto"/>
      </w:pPr>
      <w:r>
        <w:rPr>
          <w:rFonts w:eastAsia="georgia" w:cs="georgia" w:ascii="georgia" w:hAnsi="georgia"/>
          <w:color w:val="000000"/>
          <w:sz w:val="21"/>
        </w:rPr>
        <w:t xml:space="preserve">NMR and optical rotation confirming the L‑configuration where applicable.[web:202][web:208][web:214]</w:t>
      </w:r>
    </w:p>
    <w:p>
      <w:pPr>
        <w:numPr>
          <w:ilvl w:val="0"/>
          <w:numId w:val="8"/>
        </w:numPr>
        <w:spacing w:line="360" w:before="105" w:after="105" w:lineRule="auto"/>
      </w:pPr>
      <w:r>
        <w:rPr>
          <w:rFonts w:eastAsia="georgia" w:cs="georgia" w:ascii="georgia" w:hAnsi="georgia"/>
          <w:b/>
          <w:color w:val="000000"/>
          <w:sz w:val="21"/>
        </w:rPr>
        <w:t xml:space="preserve">Additional testing</w:t>
      </w:r>
    </w:p>
    <w:p>
      <w:pPr>
        <w:numPr>
          <w:ilvl w:val="1"/>
          <w:numId w:val="8"/>
        </w:numPr>
        <w:spacing w:line="360" w:before="105" w:after="105" w:lineRule="auto"/>
      </w:pPr>
      <w:r>
        <w:rPr>
          <w:rFonts w:eastAsia="georgia" w:cs="georgia" w:ascii="georgia" w:hAnsi="georgia"/>
          <w:color w:val="000000"/>
          <w:sz w:val="21"/>
        </w:rPr>
        <w:t xml:space="preserve">Water content, residual solvents, and inorganic impurities.</w:t>
      </w:r>
    </w:p>
    <w:p>
      <w:pPr>
        <w:numPr>
          <w:ilvl w:val="1"/>
          <w:numId w:val="8"/>
        </w:numPr>
        <w:spacing w:line="360" w:before="105" w:after="105" w:lineRule="auto"/>
      </w:pPr>
      <w:r>
        <w:rPr>
          <w:rFonts w:eastAsia="georgia" w:cs="georgia" w:ascii="georgia" w:hAnsi="georgia"/>
          <w:color w:val="000000"/>
          <w:sz w:val="21"/>
        </w:rPr>
        <w:t xml:space="preserve">Microbial and endotoxin testing appropriate for research‑grade materials.[web:208][web:216]</w:t>
      </w:r>
    </w:p>
    <w:p>
      <w:pPr>
        <w:spacing w:line="360" w:after="210" w:lineRule="auto"/>
      </w:pPr>
      <w:r>
        <w:rPr>
          <w:rFonts w:eastAsia="georgia" w:cs="georgia" w:ascii="georgia" w:hAnsi="georgia"/>
          <w:color w:val="000000"/>
        </w:rPr>
        <w:t xml:space="preserve">Certificates of Analysis (COAs) supplied with each batch provide exact specifications, analytical conditions, and acceptance criteria.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research_use_only_and_safety_notice"/>
      <w:r>
        <w:rPr>
          <w:rFonts w:eastAsia="georgia" w:cs="georgia" w:ascii="georgia" w:hAnsi="georgia"/>
          <w:b/>
          <w:color w:val="000000"/>
          <w:sz w:val="24"/>
        </w:rPr>
        <w:t xml:space="preserve">Research‑use‑only and safety notice</w:t>
      </w:r>
      <w:bookmarkEnd w:id="13"/>
    </w:p>
    <w:p>
      <w:pPr>
        <w:spacing w:line="360" w:after="210" w:lineRule="auto"/>
        <w:ind w:left="630"/>
      </w:pPr>
      <w:r>
        <w:rPr>
          <w:rFonts w:eastAsia="georgia" w:cs="georgia" w:ascii="georgia" w:hAnsi="georgia"/>
          <w:b/>
          <w:color w:val="000000"/>
        </w:rPr>
        <w:t xml:space="preserve">FOR LABORATORY RESEARCH USE ONLY – NOT FOR HUMAN OR VETERINARY USE</w:t>
      </w:r>
      <w:r>
        <w:rPr>
          <w:rFonts w:eastAsia="georgia" w:cs="georgia" w:ascii="georgia" w:hAnsi="georgia"/>
          <w:color w:val="000000"/>
        </w:rPr>
        <w:br w:type="textWrapping"/>
      </w:r>
      <w:r>
        <w:rPr>
          <w:rFonts w:eastAsia="georgia" w:cs="georgia" w:ascii="georgia" w:hAnsi="georgia"/>
          <w:color w:val="000000"/>
        </w:rPr>
        <w:t xml:space="preserve">L‑Carnitine 600 mg is supplied exclusively as a research compound for in‑vitro experiments and preclinical animal studies conducted under appropriate institutional oversight. It is not manufactured, tested, or approved as a dietary ingredient, pharmaceutical, or performance product.[web:205][web:208][web:211]</w:t>
      </w:r>
    </w:p>
    <w:p>
      <w:pPr>
        <w:spacing w:line="360" w:after="210" w:lineRule="auto"/>
        <w:ind w:left="630"/>
      </w:pPr>
      <w:r>
        <w:rPr>
          <w:rFonts w:eastAsia="georgia" w:cs="georgia" w:ascii="georgia" w:hAnsi="georgia"/>
          <w:color w:val="000000"/>
        </w:rPr>
        <w:t xml:space="preserve">This material must not be used for diagnosis, treatment, mitigation, cure, or prevention of any disease and must not be administered to humans or animals outside properly approved research protocols. All handling should comply with applicable biosafety and chemical‑safety regulations.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2026-04-30T11:16:14.121Z</dcterms:created>
  <dcterms:modified xsi:type="dcterms:W3CDTF">2026-04-30T11:16:14.121Z</dcterms:modified>
</cp:coreProperties>
</file>