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mots_c_10_mg_research_peptide_pro_a378d9"/>
      <w:r>
        <w:rPr>
          <w:rFonts w:eastAsia="georgia" w:cs="georgia" w:ascii="georgia" w:hAnsi="georgia"/>
          <w:b/>
          <w:color w:val="000000"/>
          <w:sz w:val="39"/>
        </w:rPr>
        <w:t xml:space="preserve">MOTS-c (10 mg) – Research Peptide Product Description</w:t>
      </w:r>
      <w:bookmarkEnd w:id="0"/>
    </w:p>
    <w:p>
      <w:pPr>
        <w:spacing w:line="360" w:before="315" w:after="105" w:lineRule="auto"/>
        <w:ind w:left="-30"/>
        <w:jc w:val="left"/>
      </w:pPr>
      <w:bookmarkStart w:id="1" w:name="product_overview"/>
      <w:r>
        <w:rPr>
          <w:rFonts w:eastAsia="georgia" w:cs="georgia" w:ascii="georgia" w:hAnsi="georgia"/>
          <w:b/>
          <w:color w:val="000000"/>
          <w:sz w:val="24"/>
        </w:rPr>
        <w:t xml:space="preserve">Product overview</w:t>
      </w:r>
      <w:bookmarkEnd w:id="1"/>
    </w:p>
    <w:p>
      <w:pPr>
        <w:spacing w:line="360" w:after="210" w:lineRule="auto"/>
      </w:pPr>
      <w:r>
        <w:rPr>
          <w:rFonts w:eastAsia="georgia" w:cs="georgia" w:ascii="georgia" w:hAnsi="georgia"/>
          <w:color w:val="000000"/>
        </w:rPr>
        <w:t xml:space="preserve">MOTS-c is a short, 16–amino acid peptide encoded in the mitochondrial 12S rRNA gene, classed in the literature as a mitochondrial‑derived peptide (MDP).[file:23] It is widely used as a research tool to explore how mitochondria communicate with the rest of the cell, how cells sense energy stress, and how metabolic pathways adapt in models of obesity, insulin resistance, exercise, and aging.[file:23] This 10 mg MOTS‑c vial is offered as a high‑purity research material for qualified laboratories that require a consistent, well‑documented peptide for in‑vitro and preclinical work.</w:t>
      </w:r>
    </w:p>
    <w:p>
      <w:pPr>
        <w:spacing w:line="360" w:after="210" w:lineRule="auto"/>
      </w:pPr>
      <w:r>
        <w:rPr>
          <w:rFonts w:eastAsia="georgia" w:cs="georgia" w:ascii="georgia" w:hAnsi="georgia"/>
          <w:color w:val="000000"/>
        </w:rPr>
        <w:t xml:space="preserve">This page is written for an e‑commerce setting, but all information relates to laboratory research only. No part of this description should be interpreted as medical or therapeutic guidance.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quick_product_snapshot"/>
      <w:r>
        <w:rPr>
          <w:rFonts w:eastAsia="georgia" w:cs="georgia" w:ascii="georgia" w:hAnsi="georgia"/>
          <w:b/>
          <w:color w:val="000000"/>
          <w:sz w:val="24"/>
        </w:rPr>
        <w:t xml:space="preserve">Quick product snapshot</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MOTS‑c (Mitochondrial ORF of 12S rRNA‑c)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Catalog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Research peptide (mitochondrial‑derived)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Content per vial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 mg lyophilized peptide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98% (RP‑HPLC), research‑grade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Sequence length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16 amino acids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Appearance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White to off‑white lyophilized powder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Storage (dry)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−20 °C to −80 °C, protected from light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Solubility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Water, bacteriostatic water, PBS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CAS number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1627580‑64‑6</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PubChem reference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SID 255386757 (commonly cited)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Intended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In‑vitro / preclinical research only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identity_and_peptide_specifications"/>
      <w:r>
        <w:rPr>
          <w:rFonts w:eastAsia="georgia" w:cs="georgia" w:ascii="georgia" w:hAnsi="georgia"/>
          <w:b/>
          <w:color w:val="000000"/>
          <w:sz w:val="24"/>
        </w:rPr>
        <w:t xml:space="preserve">Identity and peptide specifications</w:t>
      </w:r>
      <w:bookmarkEnd w:id="3"/>
    </w:p>
    <w:p>
      <w:pPr>
        <w:spacing w:line="360" w:after="210" w:lineRule="auto"/>
      </w:pPr>
      <w:r>
        <w:rPr>
          <w:rFonts w:eastAsia="georgia" w:cs="georgia" w:ascii="georgia" w:hAnsi="georgia"/>
          <w:color w:val="000000"/>
        </w:rPr>
        <w:t xml:space="preserve">MOTS‑c is a basic, positively charged peptide with several arginine and lysine residues that support cellular uptake and make it an interesting candidate for signaling studies.[file:23]</w:t>
      </w:r>
    </w:p>
    <w:p>
      <w:pPr>
        <w:spacing w:line="360" w:after="210" w:lineRule="auto"/>
      </w:pPr>
      <w:r>
        <w:rPr>
          <w:rFonts w:eastAsia="georgia" w:cs="georgia" w:ascii="georgia" w:hAnsi="georgia"/>
          <w:b/>
          <w:color w:val="000000"/>
        </w:rPr>
        <w:t xml:space="preserve">Core technical specifications</w:t>
      </w:r>
    </w:p>
    <w:p>
      <w:pPr>
        <w:numPr>
          <w:ilvl w:val="0"/>
          <w:numId w:val="1"/>
        </w:numPr>
        <w:spacing w:line="360" w:before="105" w:after="105" w:lineRule="auto"/>
      </w:pPr>
      <w:r>
        <w:rPr>
          <w:rFonts w:eastAsia="georgia" w:cs="georgia" w:ascii="georgia" w:hAnsi="georgia"/>
          <w:color w:val="000000"/>
          <w:sz w:val="21"/>
        </w:rPr>
        <w:t xml:space="preserve">Peptide name: MOTS‑c (Mitochondrial Open Reading Frame of the 12S rRNA‑c)[file:23]</w:t>
      </w:r>
    </w:p>
    <w:p>
      <w:pPr>
        <w:numPr>
          <w:ilvl w:val="0"/>
          <w:numId w:val="1"/>
        </w:numPr>
        <w:spacing w:line="360" w:before="105" w:after="105" w:lineRule="auto"/>
      </w:pPr>
      <w:r>
        <w:rPr>
          <w:rFonts w:eastAsia="georgia" w:cs="georgia" w:ascii="georgia" w:hAnsi="georgia"/>
          <w:color w:val="000000"/>
          <w:sz w:val="21"/>
        </w:rPr>
        <w:t xml:space="preserve">Classification: Mitochondrial‑derived peptide (MDP), research‑grade material[file:23]</w:t>
      </w:r>
    </w:p>
    <w:p>
      <w:pPr>
        <w:numPr>
          <w:ilvl w:val="0"/>
          <w:numId w:val="1"/>
        </w:numPr>
        <w:spacing w:line="360" w:before="105" w:after="105" w:lineRule="auto"/>
      </w:pPr>
      <w:r>
        <w:rPr>
          <w:rFonts w:eastAsia="georgia" w:cs="georgia" w:ascii="georgia" w:hAnsi="georgia"/>
          <w:color w:val="000000"/>
          <w:sz w:val="21"/>
        </w:rPr>
        <w:t xml:space="preserve">Sequence (one‑letter): MRWQEMGYIFYPRKLR[file:23]</w:t>
      </w:r>
    </w:p>
    <w:p>
      <w:pPr>
        <w:numPr>
          <w:ilvl w:val="0"/>
          <w:numId w:val="1"/>
        </w:numPr>
        <w:spacing w:line="360" w:before="105" w:after="105" w:lineRule="auto"/>
      </w:pPr>
      <w:r>
        <w:rPr>
          <w:rFonts w:eastAsia="georgia" w:cs="georgia" w:ascii="georgia" w:hAnsi="georgia"/>
          <w:color w:val="000000"/>
          <w:sz w:val="21"/>
        </w:rPr>
        <w:t xml:space="preserve">Sequence (three‑letter): Met‑Arg‑Trp‑Gln‑Glu‑Met‑Gly‑Tyr‑Ile‑Phe‑Tyr‑Pro‑Arg‑Lys‑Leu‑Arg[file:23]</w:t>
      </w:r>
    </w:p>
    <w:p>
      <w:pPr>
        <w:numPr>
          <w:ilvl w:val="0"/>
          <w:numId w:val="1"/>
        </w:numPr>
        <w:spacing w:line="360" w:before="105" w:after="105" w:lineRule="auto"/>
      </w:pPr>
      <w:r>
        <w:rPr>
          <w:rFonts w:eastAsia="georgia" w:cs="georgia" w:ascii="georgia" w:hAnsi="georgia"/>
          <w:color w:val="000000"/>
          <w:sz w:val="21"/>
        </w:rPr>
        <w:t xml:space="preserve">Length: 16 amino acids[file:23]</w:t>
      </w:r>
    </w:p>
    <w:p>
      <w:pPr>
        <w:numPr>
          <w:ilvl w:val="0"/>
          <w:numId w:val="1"/>
        </w:numPr>
        <w:spacing w:line="360" w:before="105" w:after="105" w:lineRule="auto"/>
      </w:pPr>
      <w:r>
        <w:rPr>
          <w:rFonts w:eastAsia="georgia" w:cs="georgia" w:ascii="georgia" w:hAnsi="georgia"/>
          <w:color w:val="000000"/>
          <w:sz w:val="21"/>
        </w:rPr>
        <w:t xml:space="preserve">Typical molecular formula: C101H152N28O22S2 (backbone only; counter‑ion state may alter formal formula in a COA)[file:23]</w:t>
      </w:r>
    </w:p>
    <w:p>
      <w:pPr>
        <w:numPr>
          <w:ilvl w:val="0"/>
          <w:numId w:val="1"/>
        </w:numPr>
        <w:spacing w:line="360" w:before="105" w:after="105" w:lineRule="auto"/>
      </w:pPr>
      <w:r>
        <w:rPr>
          <w:rFonts w:eastAsia="georgia" w:cs="georgia" w:ascii="georgia" w:hAnsi="georgia"/>
          <w:color w:val="000000"/>
          <w:sz w:val="21"/>
        </w:rPr>
        <w:t xml:space="preserve">Typical molecular weight: ~2174.6 g/mol (peptide base; verify per lot COA)[file:23]</w:t>
      </w:r>
    </w:p>
    <w:p>
      <w:pPr>
        <w:numPr>
          <w:ilvl w:val="0"/>
          <w:numId w:val="1"/>
        </w:numPr>
        <w:spacing w:line="360" w:before="105" w:after="105" w:lineRule="auto"/>
      </w:pPr>
      <w:r>
        <w:rPr>
          <w:rFonts w:eastAsia="georgia" w:cs="georgia" w:ascii="georgia" w:hAnsi="georgia"/>
          <w:color w:val="000000"/>
          <w:sz w:val="21"/>
        </w:rPr>
        <w:t xml:space="preserve">Net charge: Approximately +4 at physiological pH; isoelectric point around 11.5[file:23]</w:t>
      </w:r>
    </w:p>
    <w:p>
      <w:pPr>
        <w:numPr>
          <w:ilvl w:val="0"/>
          <w:numId w:val="1"/>
        </w:numPr>
        <w:spacing w:line="360" w:before="105" w:after="105" w:lineRule="auto"/>
      </w:pPr>
      <w:r>
        <w:rPr>
          <w:rFonts w:eastAsia="georgia" w:cs="georgia" w:ascii="georgia" w:hAnsi="georgia"/>
          <w:color w:val="000000"/>
          <w:sz w:val="21"/>
        </w:rPr>
        <w:t xml:space="preserve">Genomic origin: Encoded within the mitochondrial 12S rRNA gene (MT‑RNR1)[file:23]</w:t>
      </w:r>
    </w:p>
    <w:p>
      <w:pPr>
        <w:numPr>
          <w:ilvl w:val="0"/>
          <w:numId w:val="1"/>
        </w:numPr>
        <w:spacing w:line="360" w:before="105" w:after="105" w:lineRule="auto"/>
      </w:pPr>
      <w:r>
        <w:rPr>
          <w:rFonts w:eastAsia="georgia" w:cs="georgia" w:ascii="georgia" w:hAnsi="georgia"/>
          <w:color w:val="000000"/>
          <w:sz w:val="21"/>
        </w:rPr>
        <w:t xml:space="preserve">Synonyms used in literature: “mitochondrial open reading frame of the 12S rRNA‑c”, “MT‑RNR1‑encoded peptide”, “MOTS‑c (human)”[file:23]</w:t>
      </w:r>
    </w:p>
    <w:p>
      <w:pPr>
        <w:spacing w:line="360" w:after="210" w:lineRule="auto"/>
      </w:pPr>
      <w:r>
        <w:rPr>
          <w:rFonts w:eastAsia="georgia" w:cs="georgia" w:ascii="georgia" w:hAnsi="georgia"/>
          <w:color w:val="000000"/>
        </w:rPr>
        <w:t xml:space="preserve">The sequence includes multiple aromatic residues (Trp, Phe, Tyr) that provide convenient UV and fluorescence handles for analytical work.[file:23] The distribution of basic and hydrophobic residues is often discussed in relation to MOTS‑c’s ability to interact with membranes and translocate between cellular compartments in preclinical models.[file:23]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research_background_non_clinical"/>
      <w:r>
        <w:rPr>
          <w:rFonts w:eastAsia="georgia" w:cs="georgia" w:ascii="georgia" w:hAnsi="georgia"/>
          <w:b/>
          <w:color w:val="000000"/>
          <w:sz w:val="24"/>
        </w:rPr>
        <w:t xml:space="preserve">Research background (non‑clinical)</w:t>
      </w:r>
      <w:bookmarkEnd w:id="4"/>
    </w:p>
    <w:p>
      <w:pPr>
        <w:spacing w:line="360" w:before="315" w:after="105" w:lineRule="auto"/>
        <w:ind w:left="-30"/>
        <w:jc w:val="left"/>
      </w:pPr>
      <w:bookmarkStart w:id="5" w:name="mitochondrial_derived_peptide_family"/>
      <w:r>
        <w:rPr>
          <w:rFonts w:eastAsia="georgia" w:cs="georgia" w:ascii="georgia" w:hAnsi="georgia"/>
          <w:b/>
          <w:color w:val="000000"/>
          <w:sz w:val="24"/>
        </w:rPr>
        <w:t xml:space="preserve">Mitochondrial‑derived peptide family</w:t>
      </w:r>
      <w:bookmarkEnd w:id="5"/>
    </w:p>
    <w:p>
      <w:pPr>
        <w:spacing w:line="360" w:after="210" w:lineRule="auto"/>
      </w:pPr>
      <w:r>
        <w:rPr>
          <w:rFonts w:eastAsia="georgia" w:cs="georgia" w:ascii="georgia" w:hAnsi="georgia"/>
          <w:color w:val="000000"/>
        </w:rPr>
        <w:t xml:space="preserve">MOTS‑c belongs to a broader group of mitochondrial‑derived peptides, alongside humanin and the SHLP‑series peptides, which have changed how researchers think about mitochondrial DNA.[file:23] Instead of being viewed only as a codebook for respiratory chain proteins, the mitochondrial genome is now also treated as a source of small regulatory peptides that can signal metabolic status to the rest of the cell.[file:23]</w:t>
      </w:r>
    </w:p>
    <w:p>
      <w:pPr>
        <w:spacing w:line="360" w:after="210" w:lineRule="auto"/>
      </w:pPr>
      <w:r>
        <w:rPr>
          <w:rFonts w:eastAsia="georgia" w:cs="georgia" w:ascii="georgia" w:hAnsi="georgia"/>
          <w:color w:val="000000"/>
        </w:rPr>
        <w:t xml:space="preserve">Key milestones often cited in this field include:[file:23]</w:t>
      </w:r>
    </w:p>
    <w:p>
      <w:pPr>
        <w:numPr>
          <w:ilvl w:val="0"/>
          <w:numId w:val="2"/>
        </w:numPr>
        <w:spacing w:line="360" w:before="105" w:after="105" w:lineRule="auto"/>
      </w:pPr>
      <w:r>
        <w:rPr>
          <w:rFonts w:eastAsia="georgia" w:cs="georgia" w:ascii="georgia" w:hAnsi="georgia"/>
          <w:color w:val="000000"/>
          <w:sz w:val="21"/>
        </w:rPr>
        <w:t xml:space="preserve">Identification of humanin as a cytoprotective mitochondrial peptide.</w:t>
      </w:r>
    </w:p>
    <w:p>
      <w:pPr>
        <w:numPr>
          <w:ilvl w:val="0"/>
          <w:numId w:val="2"/>
        </w:numPr>
        <w:spacing w:line="360" w:before="105" w:after="105" w:lineRule="auto"/>
      </w:pPr>
      <w:r>
        <w:rPr>
          <w:rFonts w:eastAsia="georgia" w:cs="georgia" w:ascii="georgia" w:hAnsi="georgia"/>
          <w:color w:val="000000"/>
          <w:sz w:val="21"/>
        </w:rPr>
        <w:t xml:space="preserve">Discovery of MOTS‑c in 2015 as a peptide encoded in the 12S rRNA region and linked to metabolic regulation in preclinical models.</w:t>
      </w:r>
    </w:p>
    <w:p>
      <w:pPr>
        <w:numPr>
          <w:ilvl w:val="0"/>
          <w:numId w:val="2"/>
        </w:numPr>
        <w:spacing w:line="360" w:before="105" w:after="105" w:lineRule="auto"/>
      </w:pPr>
      <w:r>
        <w:rPr>
          <w:rFonts w:eastAsia="georgia" w:cs="georgia" w:ascii="georgia" w:hAnsi="georgia"/>
          <w:color w:val="000000"/>
          <w:sz w:val="21"/>
        </w:rPr>
        <w:t xml:space="preserve">Subsequent description of additional SHLP peptides and an expanded catalog of mitochondrial‑derived signals.</w:t>
      </w:r>
    </w:p>
    <w:p>
      <w:pPr>
        <w:spacing w:line="360" w:after="210" w:lineRule="auto"/>
      </w:pPr>
      <w:r>
        <w:rPr>
          <w:rFonts w:eastAsia="georgia" w:cs="georgia" w:ascii="georgia" w:hAnsi="georgia"/>
          <w:color w:val="000000"/>
        </w:rPr>
        <w:t xml:space="preserve">These discoveries have led to a surge of research into mitochondrial‑to‑nuclear signaling, metabolic stress responses, and the potential role of mitochondrial peptides in aging biology.[file:23]</w:t>
      </w:r>
    </w:p>
    <w:p>
      <w:pPr>
        <w:spacing w:line="360" w:before="315" w:after="105" w:lineRule="auto"/>
        <w:ind w:left="-30"/>
        <w:jc w:val="left"/>
      </w:pPr>
      <w:bookmarkStart w:id="6" w:name="mots_c_as_a_metabolic_signaling_tool"/>
      <w:r>
        <w:rPr>
          <w:rFonts w:eastAsia="georgia" w:cs="georgia" w:ascii="georgia" w:hAnsi="georgia"/>
          <w:b/>
          <w:color w:val="000000"/>
          <w:sz w:val="24"/>
        </w:rPr>
        <w:t xml:space="preserve">MOTS‑c as a metabolic signaling tool</w:t>
      </w:r>
      <w:bookmarkEnd w:id="6"/>
    </w:p>
    <w:p>
      <w:pPr>
        <w:spacing w:line="360" w:after="210" w:lineRule="auto"/>
      </w:pPr>
      <w:r>
        <w:rPr>
          <w:rFonts w:eastAsia="georgia" w:cs="georgia" w:ascii="georgia" w:hAnsi="georgia"/>
          <w:color w:val="000000"/>
        </w:rPr>
        <w:t xml:space="preserve">In cell and animal models, MOTS‑c is commonly used to explore:</w:t>
      </w:r>
    </w:p>
    <w:p>
      <w:pPr>
        <w:numPr>
          <w:ilvl w:val="0"/>
          <w:numId w:val="3"/>
        </w:numPr>
        <w:spacing w:line="360" w:before="105" w:after="105" w:lineRule="auto"/>
      </w:pPr>
      <w:r>
        <w:rPr>
          <w:rFonts w:eastAsia="georgia" w:cs="georgia" w:ascii="georgia" w:hAnsi="georgia"/>
          <w:color w:val="000000"/>
          <w:sz w:val="21"/>
        </w:rPr>
        <w:t xml:space="preserve">How cells respond to nutrient stress and energy deficit.</w:t>
      </w:r>
    </w:p>
    <w:p>
      <w:pPr>
        <w:numPr>
          <w:ilvl w:val="0"/>
          <w:numId w:val="3"/>
        </w:numPr>
        <w:spacing w:line="360" w:before="105" w:after="105" w:lineRule="auto"/>
      </w:pPr>
      <w:r>
        <w:rPr>
          <w:rFonts w:eastAsia="georgia" w:cs="georgia" w:ascii="georgia" w:hAnsi="georgia"/>
          <w:color w:val="000000"/>
          <w:sz w:val="21"/>
        </w:rPr>
        <w:t xml:space="preserve">How mitochondrial status is communicated to nuclear gene programs.</w:t>
      </w:r>
    </w:p>
    <w:p>
      <w:pPr>
        <w:numPr>
          <w:ilvl w:val="0"/>
          <w:numId w:val="3"/>
        </w:numPr>
        <w:spacing w:line="360" w:before="105" w:after="105" w:lineRule="auto"/>
      </w:pPr>
      <w:r>
        <w:rPr>
          <w:rFonts w:eastAsia="georgia" w:cs="georgia" w:ascii="georgia" w:hAnsi="georgia"/>
          <w:color w:val="000000"/>
          <w:sz w:val="21"/>
        </w:rPr>
        <w:t xml:space="preserve">How metabolic tissues coordinate responses to exercise, high‑fat feeding, or aging.[file:23]</w:t>
      </w:r>
    </w:p>
    <w:p>
      <w:pPr>
        <w:spacing w:line="360" w:after="210" w:lineRule="auto"/>
      </w:pPr>
      <w:r>
        <w:rPr>
          <w:rFonts w:eastAsia="georgia" w:cs="georgia" w:ascii="georgia" w:hAnsi="georgia"/>
          <w:color w:val="000000"/>
        </w:rPr>
        <w:t xml:space="preserve">All of this work is non‑clinical and focused on mechanism rather than treatment. This product is offered to support that type of investigative research.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mechanistic_themes_in_the_literature"/>
      <w:r>
        <w:rPr>
          <w:rFonts w:eastAsia="georgia" w:cs="georgia" w:ascii="georgia" w:hAnsi="georgia"/>
          <w:b/>
          <w:color w:val="000000"/>
          <w:sz w:val="24"/>
        </w:rPr>
        <w:t xml:space="preserve">Mechanistic themes in the literature</w:t>
      </w:r>
      <w:bookmarkEnd w:id="7"/>
    </w:p>
    <w:p>
      <w:pPr>
        <w:spacing w:line="360" w:before="315" w:after="105" w:lineRule="auto"/>
        <w:ind w:left="-30"/>
        <w:jc w:val="left"/>
      </w:pPr>
      <w:bookmarkStart w:id="8" w:name="ampk_linked_energy_sensing_pathways"/>
      <w:r>
        <w:rPr>
          <w:rFonts w:eastAsia="georgia" w:cs="georgia" w:ascii="georgia" w:hAnsi="georgia"/>
          <w:b/>
          <w:color w:val="000000"/>
          <w:sz w:val="24"/>
        </w:rPr>
        <w:t xml:space="preserve">AMPK‑linked energy‑sensing pathways</w:t>
      </w:r>
      <w:bookmarkEnd w:id="8"/>
    </w:p>
    <w:p>
      <w:pPr>
        <w:spacing w:line="360" w:after="210" w:lineRule="auto"/>
      </w:pPr>
      <w:r>
        <w:rPr>
          <w:rFonts w:eastAsia="georgia" w:cs="georgia" w:ascii="georgia" w:hAnsi="georgia"/>
          <w:color w:val="000000"/>
        </w:rPr>
        <w:t xml:space="preserve">Many preclinical publications frame MOTS‑c as part of the AMPK‑linked energy‑sensing network.[file:23]</w:t>
      </w:r>
    </w:p>
    <w:p>
      <w:pPr>
        <w:spacing w:line="360" w:after="210" w:lineRule="auto"/>
      </w:pPr>
      <w:r>
        <w:rPr>
          <w:rFonts w:eastAsia="georgia" w:cs="georgia" w:ascii="georgia" w:hAnsi="georgia"/>
          <w:color w:val="000000"/>
        </w:rPr>
        <w:t xml:space="preserve">Reported experimental themes include:</w:t>
      </w:r>
    </w:p>
    <w:p>
      <w:pPr>
        <w:numPr>
          <w:ilvl w:val="0"/>
          <w:numId w:val="4"/>
        </w:numPr>
        <w:spacing w:line="360" w:before="105" w:after="105" w:lineRule="auto"/>
      </w:pPr>
      <w:r>
        <w:rPr>
          <w:rFonts w:eastAsia="georgia" w:cs="georgia" w:ascii="georgia" w:hAnsi="georgia"/>
          <w:color w:val="000000"/>
          <w:sz w:val="21"/>
        </w:rPr>
        <w:t xml:space="preserve">Modulation of AMPK activity under metabolic stress conditions.</w:t>
      </w:r>
    </w:p>
    <w:p>
      <w:pPr>
        <w:numPr>
          <w:ilvl w:val="0"/>
          <w:numId w:val="4"/>
        </w:numPr>
        <w:spacing w:line="360" w:before="105" w:after="105" w:lineRule="auto"/>
      </w:pPr>
      <w:r>
        <w:rPr>
          <w:rFonts w:eastAsia="georgia" w:cs="georgia" w:ascii="georgia" w:hAnsi="georgia"/>
          <w:color w:val="000000"/>
          <w:sz w:val="21"/>
        </w:rPr>
        <w:t xml:space="preserve">Effects on glucose uptake, fatty‑acid oxidation, and mitochondrial respiration in cell culture models.[file:23]</w:t>
      </w:r>
    </w:p>
    <w:p>
      <w:pPr>
        <w:numPr>
          <w:ilvl w:val="0"/>
          <w:numId w:val="4"/>
        </w:numPr>
        <w:spacing w:line="360" w:before="105" w:after="105" w:lineRule="auto"/>
      </w:pPr>
      <w:r>
        <w:rPr>
          <w:rFonts w:eastAsia="georgia" w:cs="georgia" w:ascii="georgia" w:hAnsi="georgia"/>
          <w:color w:val="000000"/>
          <w:sz w:val="21"/>
        </w:rPr>
        <w:t xml:space="preserve">Links between MOTS‑c, folate‑related one‑carbon metabolism, and downstream AMPK activation, described in mechanistic studies.[file:23]</w:t>
      </w:r>
    </w:p>
    <w:p>
      <w:pPr>
        <w:spacing w:line="360" w:after="210" w:lineRule="auto"/>
      </w:pPr>
      <w:r>
        <w:rPr>
          <w:rFonts w:eastAsia="georgia" w:cs="georgia" w:ascii="georgia" w:hAnsi="georgia"/>
          <w:color w:val="000000"/>
        </w:rPr>
        <w:t xml:space="preserve">These findings are model‑dependent and remain confined to basic research; they are not clinical outcomes or confirmed therapeutic effects.</w:t>
      </w:r>
    </w:p>
    <w:p>
      <w:pPr>
        <w:spacing w:line="360" w:before="315" w:after="105" w:lineRule="auto"/>
        <w:ind w:left="-30"/>
        <w:jc w:val="left"/>
      </w:pPr>
      <w:bookmarkStart w:id="9" w:name="mitochondrial_function_and_bioenergetics"/>
      <w:r>
        <w:rPr>
          <w:rFonts w:eastAsia="georgia" w:cs="georgia" w:ascii="georgia" w:hAnsi="georgia"/>
          <w:b/>
          <w:color w:val="000000"/>
          <w:sz w:val="24"/>
        </w:rPr>
        <w:t xml:space="preserve">Mitochondrial function and bioenergetics</w:t>
      </w:r>
      <w:bookmarkEnd w:id="9"/>
    </w:p>
    <w:p>
      <w:pPr>
        <w:spacing w:line="360" w:after="210" w:lineRule="auto"/>
      </w:pPr>
      <w:r>
        <w:rPr>
          <w:rFonts w:eastAsia="georgia" w:cs="georgia" w:ascii="georgia" w:hAnsi="georgia"/>
          <w:color w:val="000000"/>
        </w:rPr>
        <w:t xml:space="preserve">Because MOTS‑c is mitochondrial in origin, it is frequently used to study mitochondrial performance:</w:t>
      </w:r>
    </w:p>
    <w:p>
      <w:pPr>
        <w:numPr>
          <w:ilvl w:val="0"/>
          <w:numId w:val="5"/>
        </w:numPr>
        <w:spacing w:line="360" w:before="105" w:after="105" w:lineRule="auto"/>
      </w:pPr>
      <w:r>
        <w:rPr>
          <w:rFonts w:eastAsia="georgia" w:cs="georgia" w:ascii="georgia" w:hAnsi="georgia"/>
          <w:color w:val="000000"/>
          <w:sz w:val="21"/>
        </w:rPr>
        <w:t xml:space="preserve">Oxygen consumption and respiratory capacity in isolated mitochondria or intact cells.[file:23]</w:t>
      </w:r>
    </w:p>
    <w:p>
      <w:pPr>
        <w:numPr>
          <w:ilvl w:val="0"/>
          <w:numId w:val="5"/>
        </w:numPr>
        <w:spacing w:line="360" w:before="105" w:after="105" w:lineRule="auto"/>
      </w:pPr>
      <w:r>
        <w:rPr>
          <w:rFonts w:eastAsia="georgia" w:cs="georgia" w:ascii="georgia" w:hAnsi="georgia"/>
          <w:color w:val="000000"/>
          <w:sz w:val="21"/>
        </w:rPr>
        <w:t xml:space="preserve">ATP production efficiency, proton leak, and reserve respiratory capacity under different stressors.[file:23]</w:t>
      </w:r>
    </w:p>
    <w:p>
      <w:pPr>
        <w:numPr>
          <w:ilvl w:val="0"/>
          <w:numId w:val="5"/>
        </w:numPr>
        <w:spacing w:line="360" w:before="105" w:after="105" w:lineRule="auto"/>
      </w:pPr>
      <w:r>
        <w:rPr>
          <w:rFonts w:eastAsia="georgia" w:cs="georgia" w:ascii="georgia" w:hAnsi="georgia"/>
          <w:color w:val="000000"/>
          <w:sz w:val="21"/>
        </w:rPr>
        <w:t xml:space="preserve">Reactive oxygen species (ROS) generation, antioxidant enzyme expression, and markers of oxidative damage.[file:23]</w:t>
      </w:r>
    </w:p>
    <w:p>
      <w:pPr>
        <w:spacing w:line="360" w:after="210" w:lineRule="auto"/>
      </w:pPr>
      <w:r>
        <w:rPr>
          <w:rFonts w:eastAsia="georgia" w:cs="georgia" w:ascii="georgia" w:hAnsi="georgia"/>
          <w:color w:val="000000"/>
        </w:rPr>
        <w:t xml:space="preserve">Research groups often pair MOTS‑c exposure with high‑resolution respirometry, ROS imaging, and electron microscopy to build a more complete picture of mitochondrial responses.[file:23]</w:t>
      </w:r>
    </w:p>
    <w:p>
      <w:pPr>
        <w:spacing w:line="360" w:before="315" w:after="105" w:lineRule="auto"/>
        <w:ind w:left="-30"/>
        <w:jc w:val="left"/>
      </w:pPr>
      <w:bookmarkStart w:id="10" w:name="nuclear_translocation_and_gene_ex_cd0b18"/>
      <w:r>
        <w:rPr>
          <w:rFonts w:eastAsia="georgia" w:cs="georgia" w:ascii="georgia" w:hAnsi="georgia"/>
          <w:b/>
          <w:color w:val="000000"/>
          <w:sz w:val="24"/>
        </w:rPr>
        <w:t xml:space="preserve">Nuclear translocation and gene expression</w:t>
      </w:r>
      <w:bookmarkEnd w:id="10"/>
    </w:p>
    <w:p>
      <w:pPr>
        <w:spacing w:line="360" w:after="210" w:lineRule="auto"/>
      </w:pPr>
      <w:r>
        <w:rPr>
          <w:rFonts w:eastAsia="georgia" w:cs="georgia" w:ascii="georgia" w:hAnsi="georgia"/>
          <w:color w:val="000000"/>
        </w:rPr>
        <w:t xml:space="preserve">Under specific laboratory stress conditions (e.g., nutrient restriction, certain metabolic challenges), MOTS‑c has been observed to localize to the nucleus in cell models.[file:23]</w:t>
      </w:r>
    </w:p>
    <w:p>
      <w:pPr>
        <w:spacing w:line="360" w:after="210" w:lineRule="auto"/>
      </w:pPr>
      <w:r>
        <w:rPr>
          <w:rFonts w:eastAsia="georgia" w:cs="georgia" w:ascii="georgia" w:hAnsi="georgia"/>
          <w:color w:val="000000"/>
        </w:rPr>
        <w:t xml:space="preserve">Mechanistic work in this area has examined:</w:t>
      </w:r>
    </w:p>
    <w:p>
      <w:pPr>
        <w:numPr>
          <w:ilvl w:val="0"/>
          <w:numId w:val="6"/>
        </w:numPr>
        <w:spacing w:line="360" w:before="105" w:after="105" w:lineRule="auto"/>
      </w:pPr>
      <w:r>
        <w:rPr>
          <w:rFonts w:eastAsia="georgia" w:cs="georgia" w:ascii="georgia" w:hAnsi="georgia"/>
          <w:color w:val="000000"/>
          <w:sz w:val="21"/>
        </w:rPr>
        <w:t xml:space="preserve">How MOTS‑c may bind to chromatin and influence transcription factor activity.</w:t>
      </w:r>
    </w:p>
    <w:p>
      <w:pPr>
        <w:numPr>
          <w:ilvl w:val="0"/>
          <w:numId w:val="6"/>
        </w:numPr>
        <w:spacing w:line="360" w:before="105" w:after="105" w:lineRule="auto"/>
      </w:pPr>
      <w:r>
        <w:rPr>
          <w:rFonts w:eastAsia="georgia" w:cs="georgia" w:ascii="georgia" w:hAnsi="georgia"/>
          <w:color w:val="000000"/>
          <w:sz w:val="21"/>
        </w:rPr>
        <w:t xml:space="preserve">Transcriptomic changes in nuclear‑encoded genes involved in antioxidant defense, metabolism, and stress adaptation.[file:23]</w:t>
      </w:r>
    </w:p>
    <w:p>
      <w:pPr>
        <w:numPr>
          <w:ilvl w:val="0"/>
          <w:numId w:val="6"/>
        </w:numPr>
        <w:spacing w:line="360" w:before="105" w:after="105" w:lineRule="auto"/>
      </w:pPr>
      <w:r>
        <w:rPr>
          <w:rFonts w:eastAsia="georgia" w:cs="georgia" w:ascii="georgia" w:hAnsi="georgia"/>
          <w:color w:val="000000"/>
          <w:sz w:val="21"/>
        </w:rPr>
        <w:t xml:space="preserve">The broader concept of “retrograde” signaling from mitochondria to the nucleus via encoded peptides.[file:23]</w:t>
      </w:r>
    </w:p>
    <w:p>
      <w:pPr>
        <w:spacing w:line="360" w:after="210" w:lineRule="auto"/>
      </w:pPr>
      <w:r>
        <w:rPr>
          <w:rFonts w:eastAsia="georgia" w:cs="georgia" w:ascii="georgia" w:hAnsi="georgia"/>
          <w:color w:val="000000"/>
        </w:rPr>
        <w:t xml:space="preserve">Again, all such observations are limited to controlled research models and do not by themselves imply any clinical effect.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key_research_application_areas_pr_e6bfb8"/>
      <w:r>
        <w:rPr>
          <w:rFonts w:eastAsia="georgia" w:cs="georgia" w:ascii="georgia" w:hAnsi="georgia"/>
          <w:b/>
          <w:color w:val="000000"/>
          <w:sz w:val="24"/>
        </w:rPr>
        <w:t xml:space="preserve">Key research application areas (preclinical)</w:t>
      </w:r>
      <w:bookmarkEnd w:id="11"/>
    </w:p>
    <w:p>
      <w:pPr>
        <w:spacing w:line="360" w:before="315" w:after="105" w:lineRule="auto"/>
        <w:ind w:left="-30"/>
        <w:jc w:val="left"/>
      </w:pPr>
      <w:bookmarkStart w:id="12" w:name="bm_1_metabolic_regulation_and_ins_bd2e2f"/>
      <w:r>
        <w:rPr>
          <w:rFonts w:eastAsia="georgia" w:cs="georgia" w:ascii="georgia" w:hAnsi="georgia"/>
          <w:b/>
          <w:color w:val="000000"/>
          <w:sz w:val="24"/>
        </w:rPr>
        <w:t xml:space="preserve">1. Metabolic regulation and insulin sensitivity</w:t>
      </w:r>
      <w:bookmarkEnd w:id="12"/>
    </w:p>
    <w:p>
      <w:pPr>
        <w:spacing w:line="360" w:after="210" w:lineRule="auto"/>
      </w:pPr>
      <w:r>
        <w:rPr>
          <w:rFonts w:eastAsia="georgia" w:cs="georgia" w:ascii="georgia" w:hAnsi="georgia"/>
          <w:color w:val="000000"/>
        </w:rPr>
        <w:t xml:space="preserve">MOTS‑c is frequently used in obesity and type 2 diabetes research models to understand how mitochondrial peptides influence metabolic networks.[file:23]</w:t>
      </w:r>
    </w:p>
    <w:p>
      <w:pPr>
        <w:spacing w:line="360" w:after="210" w:lineRule="auto"/>
      </w:pPr>
      <w:r>
        <w:rPr>
          <w:rFonts w:eastAsia="georgia" w:cs="georgia" w:ascii="georgia" w:hAnsi="georgia"/>
          <w:color w:val="000000"/>
        </w:rPr>
        <w:t xml:space="preserve">Typical experimental questions include:</w:t>
      </w:r>
    </w:p>
    <w:p>
      <w:pPr>
        <w:numPr>
          <w:ilvl w:val="0"/>
          <w:numId w:val="7"/>
        </w:numPr>
        <w:spacing w:line="360" w:before="105" w:after="105" w:lineRule="auto"/>
      </w:pPr>
      <w:r>
        <w:rPr>
          <w:rFonts w:eastAsia="georgia" w:cs="georgia" w:ascii="georgia" w:hAnsi="georgia"/>
          <w:color w:val="000000"/>
          <w:sz w:val="21"/>
        </w:rPr>
        <w:t xml:space="preserve">How glucose uptake changes in myocytes, adipocytes, and hepatocytes after MOTS‑c exposure.[file:23]</w:t>
      </w:r>
    </w:p>
    <w:p>
      <w:pPr>
        <w:numPr>
          <w:ilvl w:val="0"/>
          <w:numId w:val="7"/>
        </w:numPr>
        <w:spacing w:line="360" w:before="105" w:after="105" w:lineRule="auto"/>
      </w:pPr>
      <w:r>
        <w:rPr>
          <w:rFonts w:eastAsia="georgia" w:cs="georgia" w:ascii="georgia" w:hAnsi="georgia"/>
          <w:color w:val="000000"/>
          <w:sz w:val="21"/>
        </w:rPr>
        <w:t xml:space="preserve">Whether insulin‑signaling components (e.g., IRS, PI3K, AKT, AS160) show altered activation states in diet‑induced obesity models.[file:23]</w:t>
      </w:r>
    </w:p>
    <w:p>
      <w:pPr>
        <w:numPr>
          <w:ilvl w:val="0"/>
          <w:numId w:val="7"/>
        </w:numPr>
        <w:spacing w:line="360" w:before="105" w:after="105" w:lineRule="auto"/>
      </w:pPr>
      <w:r>
        <w:rPr>
          <w:rFonts w:eastAsia="georgia" w:cs="georgia" w:ascii="georgia" w:hAnsi="georgia"/>
          <w:color w:val="000000"/>
          <w:sz w:val="21"/>
        </w:rPr>
        <w:t xml:space="preserve">How hepatic glucose output, gluconeogenesis markers, and systemic glucose tolerance respond to metabolic challenges in the presence of MOTS‑c.[file:23]</w:t>
      </w:r>
    </w:p>
    <w:p>
      <w:pPr>
        <w:numPr>
          <w:ilvl w:val="0"/>
          <w:numId w:val="7"/>
        </w:numPr>
        <w:spacing w:line="360" w:before="105" w:after="105" w:lineRule="auto"/>
      </w:pPr>
      <w:r>
        <w:rPr>
          <w:rFonts w:eastAsia="georgia" w:cs="georgia" w:ascii="georgia" w:hAnsi="georgia"/>
          <w:color w:val="000000"/>
          <w:sz w:val="21"/>
        </w:rPr>
        <w:t xml:space="preserve">How lipid handling, adipose tissue inflammation, and ectopic fat accumulation behave in high‑fat diet studies.[file:23]</w:t>
      </w:r>
    </w:p>
    <w:p>
      <w:pPr>
        <w:spacing w:line="360" w:before="315" w:after="105" w:lineRule="auto"/>
        <w:ind w:left="-30"/>
        <w:jc w:val="left"/>
      </w:pPr>
      <w:bookmarkStart w:id="13" w:name="bm_2_exercise_physiology_and_musc_a8f5f4"/>
      <w:r>
        <w:rPr>
          <w:rFonts w:eastAsia="georgia" w:cs="georgia" w:ascii="georgia" w:hAnsi="georgia"/>
          <w:b/>
          <w:color w:val="000000"/>
          <w:sz w:val="24"/>
        </w:rPr>
        <w:t xml:space="preserve">2. Exercise physiology and muscle homeostasis</w:t>
      </w:r>
      <w:bookmarkEnd w:id="13"/>
    </w:p>
    <w:p>
      <w:pPr>
        <w:spacing w:line="360" w:after="210" w:lineRule="auto"/>
      </w:pPr>
      <w:r>
        <w:rPr>
          <w:rFonts w:eastAsia="georgia" w:cs="georgia" w:ascii="georgia" w:hAnsi="georgia"/>
          <w:color w:val="000000"/>
        </w:rPr>
        <w:t xml:space="preserve">Given its AMPK‑linked signaling and mitochondrial association, MOTS‑c has become a popular tool for exercise biology and muscle function research.[file:23]</w:t>
      </w:r>
    </w:p>
    <w:p>
      <w:pPr>
        <w:spacing w:line="360" w:after="210" w:lineRule="auto"/>
      </w:pPr>
      <w:r>
        <w:rPr>
          <w:rFonts w:eastAsia="georgia" w:cs="georgia" w:ascii="georgia" w:hAnsi="georgia"/>
          <w:color w:val="000000"/>
        </w:rPr>
        <w:t xml:space="preserve">Preclinical themes include:</w:t>
      </w:r>
    </w:p>
    <w:p>
      <w:pPr>
        <w:numPr>
          <w:ilvl w:val="0"/>
          <w:numId w:val="8"/>
        </w:numPr>
        <w:spacing w:line="360" w:before="105" w:after="105" w:lineRule="auto"/>
      </w:pPr>
      <w:r>
        <w:rPr>
          <w:rFonts w:eastAsia="georgia" w:cs="georgia" w:ascii="georgia" w:hAnsi="georgia"/>
          <w:color w:val="000000"/>
          <w:sz w:val="21"/>
        </w:rPr>
        <w:t xml:space="preserve">Measuring changes in endogenous MOTS‑c levels in skeletal muscle and plasma following acute or chronic exercise.[file:23]</w:t>
      </w:r>
    </w:p>
    <w:p>
      <w:pPr>
        <w:numPr>
          <w:ilvl w:val="0"/>
          <w:numId w:val="8"/>
        </w:numPr>
        <w:spacing w:line="360" w:before="105" w:after="105" w:lineRule="auto"/>
      </w:pPr>
      <w:r>
        <w:rPr>
          <w:rFonts w:eastAsia="georgia" w:cs="georgia" w:ascii="georgia" w:hAnsi="georgia"/>
          <w:color w:val="000000"/>
          <w:sz w:val="21"/>
        </w:rPr>
        <w:t xml:space="preserve">Investigating endurance capacity, fatigue resistance, and age‑related loss of physical performance in mouse models.[file:23]</w:t>
      </w:r>
    </w:p>
    <w:p>
      <w:pPr>
        <w:numPr>
          <w:ilvl w:val="0"/>
          <w:numId w:val="8"/>
        </w:numPr>
        <w:spacing w:line="360" w:before="105" w:after="105" w:lineRule="auto"/>
      </w:pPr>
      <w:r>
        <w:rPr>
          <w:rFonts w:eastAsia="georgia" w:cs="georgia" w:ascii="georgia" w:hAnsi="georgia"/>
          <w:color w:val="000000"/>
          <w:sz w:val="21"/>
        </w:rPr>
        <w:t xml:space="preserve">Studying gene expression programs in muscle that relate to proteostasis, atrophy pathways (e.g., myostatin signaling), and mitochondrial biogenesis.[file:23]</w:t>
      </w:r>
    </w:p>
    <w:p>
      <w:pPr>
        <w:numPr>
          <w:ilvl w:val="0"/>
          <w:numId w:val="8"/>
        </w:numPr>
        <w:spacing w:line="360" w:before="105" w:after="105" w:lineRule="auto"/>
      </w:pPr>
      <w:r>
        <w:rPr>
          <w:rFonts w:eastAsia="georgia" w:cs="georgia" w:ascii="georgia" w:hAnsi="georgia"/>
          <w:color w:val="000000"/>
          <w:sz w:val="21"/>
        </w:rPr>
        <w:t xml:space="preserve">Comparing the “exercise‑like” molecular signature of MOTS‑c exposure with conventional training regimens.[file:23]</w:t>
      </w:r>
    </w:p>
    <w:p>
      <w:pPr>
        <w:spacing w:line="360" w:before="315" w:after="105" w:lineRule="auto"/>
        <w:ind w:left="-30"/>
        <w:jc w:val="left"/>
      </w:pPr>
      <w:bookmarkStart w:id="14" w:name="bm_3_neuroinflammation_brain_inju_34336b"/>
      <w:r>
        <w:rPr>
          <w:rFonts w:eastAsia="georgia" w:cs="georgia" w:ascii="georgia" w:hAnsi="georgia"/>
          <w:b/>
          <w:color w:val="000000"/>
          <w:sz w:val="24"/>
        </w:rPr>
        <w:t xml:space="preserve">3. Neuroinflammation, brain injury, and cognition</w:t>
      </w:r>
      <w:bookmarkEnd w:id="14"/>
    </w:p>
    <w:p>
      <w:pPr>
        <w:spacing w:line="360" w:after="210" w:lineRule="auto"/>
      </w:pPr>
      <w:r>
        <w:rPr>
          <w:rFonts w:eastAsia="georgia" w:cs="georgia" w:ascii="georgia" w:hAnsi="georgia"/>
          <w:color w:val="000000"/>
        </w:rPr>
        <w:t xml:space="preserve">A growing body of animal work explores MOTS‑c in models of brain injury, neuroinflammation, and cognitive decline.[file:23]</w:t>
      </w:r>
    </w:p>
    <w:p>
      <w:pPr>
        <w:spacing w:line="360" w:after="210" w:lineRule="auto"/>
      </w:pPr>
      <w:r>
        <w:rPr>
          <w:rFonts w:eastAsia="georgia" w:cs="georgia" w:ascii="georgia" w:hAnsi="georgia"/>
          <w:color w:val="000000"/>
        </w:rPr>
        <w:t xml:space="preserve">Common readouts include:</w:t>
      </w:r>
    </w:p>
    <w:p>
      <w:pPr>
        <w:numPr>
          <w:ilvl w:val="0"/>
          <w:numId w:val="9"/>
        </w:numPr>
        <w:spacing w:line="360" w:before="105" w:after="105" w:lineRule="auto"/>
      </w:pPr>
      <w:r>
        <w:rPr>
          <w:rFonts w:eastAsia="georgia" w:cs="georgia" w:ascii="georgia" w:hAnsi="georgia"/>
          <w:color w:val="000000"/>
          <w:sz w:val="21"/>
        </w:rPr>
        <w:t xml:space="preserve">Levels of pro‑inflammatory cytokines (TNF‑α, IL‑6, IL‑1β), COX‑2, and iNOS in brain tissue after experimental injury.[file:23]</w:t>
      </w:r>
    </w:p>
    <w:p>
      <w:pPr>
        <w:numPr>
          <w:ilvl w:val="0"/>
          <w:numId w:val="9"/>
        </w:numPr>
        <w:spacing w:line="360" w:before="105" w:after="105" w:lineRule="auto"/>
      </w:pPr>
      <w:r>
        <w:rPr>
          <w:rFonts w:eastAsia="georgia" w:cs="georgia" w:ascii="georgia" w:hAnsi="georgia"/>
          <w:color w:val="000000"/>
          <w:sz w:val="21"/>
        </w:rPr>
        <w:t xml:space="preserve">Astrocyte and microglia activation markers in models that mimic Alzheimer‑like pathology or traumatic brain injury.[file:23]</w:t>
      </w:r>
    </w:p>
    <w:p>
      <w:pPr>
        <w:numPr>
          <w:ilvl w:val="0"/>
          <w:numId w:val="9"/>
        </w:numPr>
        <w:spacing w:line="360" w:before="105" w:after="105" w:lineRule="auto"/>
      </w:pPr>
      <w:r>
        <w:rPr>
          <w:rFonts w:eastAsia="georgia" w:cs="georgia" w:ascii="georgia" w:hAnsi="georgia"/>
          <w:color w:val="000000"/>
          <w:sz w:val="21"/>
        </w:rPr>
        <w:t xml:space="preserve">Behavioral measures such as object recognition and spatial memory tasks in rodent studies.[file:23]</w:t>
      </w:r>
    </w:p>
    <w:p>
      <w:pPr>
        <w:spacing w:line="360" w:after="210" w:lineRule="auto"/>
      </w:pPr>
      <w:r>
        <w:rPr>
          <w:rFonts w:eastAsia="georgia" w:cs="georgia" w:ascii="georgia" w:hAnsi="georgia"/>
          <w:color w:val="000000"/>
        </w:rPr>
        <w:t xml:space="preserve">These studies are designed to generate mechanistic hypotheses and do not translate into approved clinical indications.</w:t>
      </w:r>
    </w:p>
    <w:p>
      <w:pPr>
        <w:spacing w:line="360" w:before="315" w:after="105" w:lineRule="auto"/>
        <w:ind w:left="-30"/>
        <w:jc w:val="left"/>
      </w:pPr>
      <w:bookmarkStart w:id="15" w:name="bm_4_bone_osteogenesis_and_tissue_37ad16"/>
      <w:r>
        <w:rPr>
          <w:rFonts w:eastAsia="georgia" w:cs="georgia" w:ascii="georgia" w:hAnsi="georgia"/>
          <w:b/>
          <w:color w:val="000000"/>
          <w:sz w:val="24"/>
        </w:rPr>
        <w:t xml:space="preserve">4. Bone, osteogenesis, and tissue remodeling</w:t>
      </w:r>
      <w:bookmarkEnd w:id="15"/>
    </w:p>
    <w:p>
      <w:pPr>
        <w:spacing w:line="360" w:after="210" w:lineRule="auto"/>
      </w:pPr>
      <w:r>
        <w:rPr>
          <w:rFonts w:eastAsia="georgia" w:cs="georgia" w:ascii="georgia" w:hAnsi="georgia"/>
          <w:color w:val="000000"/>
        </w:rPr>
        <w:t xml:space="preserve">Some groups have applied MOTS‑c in models of bone metabolism and skeletal remodeling.[file:23]</w:t>
      </w:r>
    </w:p>
    <w:p>
      <w:pPr>
        <w:spacing w:line="360" w:after="210" w:lineRule="auto"/>
      </w:pPr>
      <w:r>
        <w:rPr>
          <w:rFonts w:eastAsia="georgia" w:cs="georgia" w:ascii="georgia" w:hAnsi="georgia"/>
          <w:color w:val="000000"/>
        </w:rPr>
        <w:t xml:space="preserve">Research topics include:</w:t>
      </w:r>
    </w:p>
    <w:p>
      <w:pPr>
        <w:numPr>
          <w:ilvl w:val="0"/>
          <w:numId w:val="10"/>
        </w:numPr>
        <w:spacing w:line="360" w:before="105" w:after="105" w:lineRule="auto"/>
      </w:pPr>
      <w:r>
        <w:rPr>
          <w:rFonts w:eastAsia="georgia" w:cs="georgia" w:ascii="georgia" w:hAnsi="georgia"/>
          <w:color w:val="000000"/>
          <w:sz w:val="21"/>
        </w:rPr>
        <w:t xml:space="preserve">Type I collagen synthesis and extracellular matrix deposition in osteoblasts and mesenchymal stem cells.[file:23]</w:t>
      </w:r>
    </w:p>
    <w:p>
      <w:pPr>
        <w:numPr>
          <w:ilvl w:val="0"/>
          <w:numId w:val="10"/>
        </w:numPr>
        <w:spacing w:line="360" w:before="105" w:after="105" w:lineRule="auto"/>
      </w:pPr>
      <w:r>
        <w:rPr>
          <w:rFonts w:eastAsia="georgia" w:cs="georgia" w:ascii="georgia" w:hAnsi="georgia"/>
          <w:color w:val="000000"/>
          <w:sz w:val="21"/>
        </w:rPr>
        <w:t xml:space="preserve">Osteogenic differentiation markers and mineralization assays in cell culture.[file:23]</w:t>
      </w:r>
    </w:p>
    <w:p>
      <w:pPr>
        <w:numPr>
          <w:ilvl w:val="0"/>
          <w:numId w:val="10"/>
        </w:numPr>
        <w:spacing w:line="360" w:before="105" w:after="105" w:lineRule="auto"/>
      </w:pPr>
      <w:r>
        <w:rPr>
          <w:rFonts w:eastAsia="georgia" w:cs="georgia" w:ascii="georgia" w:hAnsi="georgia"/>
          <w:color w:val="000000"/>
          <w:sz w:val="21"/>
        </w:rPr>
        <w:t xml:space="preserve">Micro‑CT or histological assessments of bone microarchitecture in rodent models of osteoporosis or metabolic bone disease.[file:23]</w:t>
      </w:r>
    </w:p>
    <w:p>
      <w:pPr>
        <w:spacing w:line="360" w:before="315" w:after="105" w:lineRule="auto"/>
        <w:ind w:left="-30"/>
        <w:jc w:val="left"/>
      </w:pPr>
      <w:bookmarkStart w:id="16" w:name="bm_5_aging_longevity_and_healthspan"/>
      <w:r>
        <w:rPr>
          <w:rFonts w:eastAsia="georgia" w:cs="georgia" w:ascii="georgia" w:hAnsi="georgia"/>
          <w:b/>
          <w:color w:val="000000"/>
          <w:sz w:val="24"/>
        </w:rPr>
        <w:t xml:space="preserve">5. Aging, longevity, and healthspan</w:t>
      </w:r>
      <w:bookmarkEnd w:id="16"/>
    </w:p>
    <w:p>
      <w:pPr>
        <w:spacing w:line="360" w:after="210" w:lineRule="auto"/>
      </w:pPr>
      <w:r>
        <w:rPr>
          <w:rFonts w:eastAsia="georgia" w:cs="georgia" w:ascii="georgia" w:hAnsi="georgia"/>
          <w:color w:val="000000"/>
        </w:rPr>
        <w:t xml:space="preserve">MOTS‑c has also been examined in the context of aging and exceptional longevity.[file:23]</w:t>
      </w:r>
    </w:p>
    <w:p>
      <w:pPr>
        <w:spacing w:line="360" w:after="210" w:lineRule="auto"/>
      </w:pPr>
      <w:r>
        <w:rPr>
          <w:rFonts w:eastAsia="georgia" w:cs="georgia" w:ascii="georgia" w:hAnsi="georgia"/>
          <w:color w:val="000000"/>
        </w:rPr>
        <w:t xml:space="preserve">Representative themes:</w:t>
      </w:r>
    </w:p>
    <w:p>
      <w:pPr>
        <w:numPr>
          <w:ilvl w:val="0"/>
          <w:numId w:val="11"/>
        </w:numPr>
        <w:spacing w:line="360" w:before="105" w:after="105" w:lineRule="auto"/>
      </w:pPr>
      <w:r>
        <w:rPr>
          <w:rFonts w:eastAsia="georgia" w:cs="georgia" w:ascii="georgia" w:hAnsi="georgia"/>
          <w:color w:val="000000"/>
          <w:sz w:val="21"/>
        </w:rPr>
        <w:t xml:space="preserve">Age‑related trends in endogenous MOTS‑c levels and their relationship to metabolic decline in preclinical models.[file:23]</w:t>
      </w:r>
    </w:p>
    <w:p>
      <w:pPr>
        <w:numPr>
          <w:ilvl w:val="0"/>
          <w:numId w:val="11"/>
        </w:numPr>
        <w:spacing w:line="360" w:before="105" w:after="105" w:lineRule="auto"/>
      </w:pPr>
      <w:r>
        <w:rPr>
          <w:rFonts w:eastAsia="georgia" w:cs="georgia" w:ascii="georgia" w:hAnsi="georgia"/>
          <w:color w:val="000000"/>
          <w:sz w:val="21"/>
        </w:rPr>
        <w:t xml:space="preserve">Use of MOTS‑c in aged animals to explore physical performance, metabolic resilience, and responses to stress.[file:23]</w:t>
      </w:r>
    </w:p>
    <w:p>
      <w:pPr>
        <w:numPr>
          <w:ilvl w:val="0"/>
          <w:numId w:val="11"/>
        </w:numPr>
        <w:spacing w:line="360" w:before="105" w:after="105" w:lineRule="auto"/>
      </w:pPr>
      <w:r>
        <w:rPr>
          <w:rFonts w:eastAsia="georgia" w:cs="georgia" w:ascii="georgia" w:hAnsi="georgia"/>
          <w:color w:val="000000"/>
          <w:sz w:val="21"/>
        </w:rPr>
        <w:t xml:space="preserve">Population‑level association studies linking polymorphisms in the MOTS‑c encoding region (for example, K14Q variants) with longevity traits in specific cohorts.[file:23]</w:t>
      </w:r>
    </w:p>
    <w:p>
      <w:pPr>
        <w:spacing w:line="360" w:after="210" w:lineRule="auto"/>
      </w:pPr>
      <w:r>
        <w:rPr>
          <w:rFonts w:eastAsia="georgia" w:cs="georgia" w:ascii="georgia" w:hAnsi="georgia"/>
          <w:color w:val="000000"/>
        </w:rPr>
        <w:t xml:space="preserve">These findings remain exploratory and are not sufficient to support any clinical claims.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handling_reconstitution_and_stora_349d2e"/>
      <w:r>
        <w:rPr>
          <w:rFonts w:eastAsia="georgia" w:cs="georgia" w:ascii="georgia" w:hAnsi="georgia"/>
          <w:b/>
          <w:color w:val="000000"/>
          <w:sz w:val="24"/>
        </w:rPr>
        <w:t xml:space="preserve">Handling, reconstitution, and storage (laboratory use)</w:t>
      </w:r>
      <w:bookmarkEnd w:id="17"/>
    </w:p>
    <w:p>
      <w:pPr>
        <w:spacing w:line="360" w:before="315" w:after="105" w:lineRule="auto"/>
        <w:ind w:left="-30"/>
        <w:jc w:val="left"/>
      </w:pPr>
      <w:bookmarkStart w:id="18" w:name="storage_of_unopened_vials"/>
      <w:r>
        <w:rPr>
          <w:rFonts w:eastAsia="georgia" w:cs="georgia" w:ascii="georgia" w:hAnsi="georgia"/>
          <w:b/>
          <w:color w:val="000000"/>
          <w:sz w:val="24"/>
        </w:rPr>
        <w:t xml:space="preserve">Storage of unopened vials</w:t>
      </w:r>
      <w:bookmarkEnd w:id="18"/>
    </w:p>
    <w:p>
      <w:pPr>
        <w:numPr>
          <w:ilvl w:val="0"/>
          <w:numId w:val="12"/>
        </w:numPr>
        <w:spacing w:line="360" w:before="105" w:after="105" w:lineRule="auto"/>
      </w:pPr>
      <w:r>
        <w:rPr>
          <w:rFonts w:eastAsia="georgia" w:cs="georgia" w:ascii="georgia" w:hAnsi="georgia"/>
          <w:color w:val="000000"/>
          <w:sz w:val="21"/>
        </w:rPr>
        <w:t xml:space="preserve">Store unopened MOTS‑c vials at −20 °C to −80 °C in a dry, dark environment.[file:23]</w:t>
      </w:r>
    </w:p>
    <w:p>
      <w:pPr>
        <w:numPr>
          <w:ilvl w:val="0"/>
          <w:numId w:val="12"/>
        </w:numPr>
        <w:spacing w:line="360" w:before="105" w:after="105" w:lineRule="auto"/>
      </w:pPr>
      <w:r>
        <w:rPr>
          <w:rFonts w:eastAsia="georgia" w:cs="georgia" w:ascii="georgia" w:hAnsi="georgia"/>
          <w:color w:val="000000"/>
          <w:sz w:val="21"/>
        </w:rPr>
        <w:t xml:space="preserve">Keep vials tightly capped to avoid moisture uptake; desiccant storage is recommended.</w:t>
      </w:r>
    </w:p>
    <w:p>
      <w:pPr>
        <w:numPr>
          <w:ilvl w:val="0"/>
          <w:numId w:val="12"/>
        </w:numPr>
        <w:spacing w:line="360" w:before="105" w:after="105" w:lineRule="auto"/>
      </w:pPr>
      <w:r>
        <w:rPr>
          <w:rFonts w:eastAsia="georgia" w:cs="georgia" w:ascii="georgia" w:hAnsi="georgia"/>
          <w:color w:val="000000"/>
          <w:sz w:val="21"/>
        </w:rPr>
        <w:t xml:space="preserve">Avoid repeated removal from cold storage; plan experiments so vials are only warmed when needed.</w:t>
      </w:r>
    </w:p>
    <w:p>
      <w:pPr>
        <w:spacing w:line="360" w:before="315" w:after="105" w:lineRule="auto"/>
        <w:ind w:left="-30"/>
        <w:jc w:val="left"/>
      </w:pPr>
      <w:bookmarkStart w:id="19" w:name="reconstitution_guidelines"/>
      <w:r>
        <w:rPr>
          <w:rFonts w:eastAsia="georgia" w:cs="georgia" w:ascii="georgia" w:hAnsi="georgia"/>
          <w:b/>
          <w:color w:val="000000"/>
          <w:sz w:val="24"/>
        </w:rPr>
        <w:t xml:space="preserve">Reconstitution guidelines</w:t>
      </w:r>
      <w:bookmarkEnd w:id="19"/>
    </w:p>
    <w:p>
      <w:pPr>
        <w:numPr>
          <w:ilvl w:val="0"/>
          <w:numId w:val="13"/>
        </w:numPr>
        <w:spacing w:line="360" w:before="105" w:after="105" w:lineRule="auto"/>
      </w:pPr>
      <w:r>
        <w:rPr>
          <w:rFonts w:eastAsia="georgia" w:cs="georgia" w:ascii="georgia" w:hAnsi="georgia"/>
          <w:color w:val="000000"/>
          <w:sz w:val="21"/>
        </w:rPr>
        <w:t xml:space="preserve">Recommended solvents: sterile water, bacteriostatic water (e.g., 0.9% benzyl alcohol), or sterile buffer such as PBS, depending on the planned assay.[file:23]</w:t>
      </w:r>
    </w:p>
    <w:p>
      <w:pPr>
        <w:numPr>
          <w:ilvl w:val="0"/>
          <w:numId w:val="13"/>
        </w:numPr>
        <w:spacing w:line="360" w:before="105" w:after="105" w:lineRule="auto"/>
      </w:pPr>
      <w:r>
        <w:rPr>
          <w:rFonts w:eastAsia="georgia" w:cs="georgia" w:ascii="georgia" w:hAnsi="georgia"/>
          <w:color w:val="000000"/>
          <w:sz w:val="21"/>
        </w:rPr>
        <w:t xml:space="preserve">Bring the vial briefly to room temperature to reduce condensation, then clean the exterior before opening.</w:t>
      </w:r>
    </w:p>
    <w:p>
      <w:pPr>
        <w:numPr>
          <w:ilvl w:val="0"/>
          <w:numId w:val="13"/>
        </w:numPr>
        <w:spacing w:line="360" w:before="105" w:after="105" w:lineRule="auto"/>
      </w:pPr>
      <w:r>
        <w:rPr>
          <w:rFonts w:eastAsia="georgia" w:cs="georgia" w:ascii="georgia" w:hAnsi="georgia"/>
          <w:color w:val="000000"/>
          <w:sz w:val="21"/>
        </w:rPr>
        <w:t xml:space="preserve">Add solvent slowly along the inner wall of the vial to minimize foaming or mechanical stress.</w:t>
      </w:r>
    </w:p>
    <w:p>
      <w:pPr>
        <w:numPr>
          <w:ilvl w:val="0"/>
          <w:numId w:val="13"/>
        </w:numPr>
        <w:spacing w:line="360" w:before="105" w:after="105" w:lineRule="auto"/>
      </w:pPr>
      <w:r>
        <w:rPr>
          <w:rFonts w:eastAsia="georgia" w:cs="georgia" w:ascii="georgia" w:hAnsi="georgia"/>
          <w:color w:val="000000"/>
          <w:sz w:val="21"/>
        </w:rPr>
        <w:t xml:space="preserve">Gently swirl or roll until the powder is fully dissolved; avoid vigorous shaking.</w:t>
      </w:r>
    </w:p>
    <w:p>
      <w:pPr>
        <w:numPr>
          <w:ilvl w:val="0"/>
          <w:numId w:val="13"/>
        </w:numPr>
        <w:spacing w:line="360" w:before="105" w:after="105" w:lineRule="auto"/>
      </w:pPr>
      <w:r>
        <w:rPr>
          <w:rFonts w:eastAsia="georgia" w:cs="georgia" w:ascii="georgia" w:hAnsi="georgia"/>
          <w:color w:val="000000"/>
          <w:sz w:val="21"/>
        </w:rPr>
        <w:t xml:space="preserve">Typical working stock concentrations reported in the literature are 0.1–1 mg/mL, but each lab should optimize concentrations for its own model and readouts.[file:23]</w:t>
      </w:r>
    </w:p>
    <w:p>
      <w:pPr>
        <w:numPr>
          <w:ilvl w:val="0"/>
          <w:numId w:val="13"/>
        </w:numPr>
        <w:spacing w:line="360" w:before="105" w:after="105" w:lineRule="auto"/>
      </w:pPr>
      <w:r>
        <w:rPr>
          <w:rFonts w:eastAsia="georgia" w:cs="georgia" w:ascii="georgia" w:hAnsi="georgia"/>
          <w:color w:val="000000"/>
          <w:sz w:val="21"/>
        </w:rPr>
        <w:t xml:space="preserve">If sterility is essential and the solvent was not pre‑sterile, pass the solution through a 0.22 μm sterile filter before use.</w:t>
      </w:r>
    </w:p>
    <w:p>
      <w:pPr>
        <w:spacing w:line="360" w:before="315" w:after="105" w:lineRule="auto"/>
        <w:ind w:left="-30"/>
        <w:jc w:val="left"/>
      </w:pPr>
      <w:bookmarkStart w:id="20" w:name="storage_of_reconstituted_solutions"/>
      <w:r>
        <w:rPr>
          <w:rFonts w:eastAsia="georgia" w:cs="georgia" w:ascii="georgia" w:hAnsi="georgia"/>
          <w:b/>
          <w:color w:val="000000"/>
          <w:sz w:val="24"/>
        </w:rPr>
        <w:t xml:space="preserve">Storage of reconstituted solutions</w:t>
      </w:r>
      <w:bookmarkEnd w:id="20"/>
    </w:p>
    <w:p>
      <w:pPr>
        <w:numPr>
          <w:ilvl w:val="0"/>
          <w:numId w:val="14"/>
        </w:numPr>
        <w:spacing w:line="360" w:before="105" w:after="105" w:lineRule="auto"/>
      </w:pPr>
      <w:r>
        <w:rPr>
          <w:rFonts w:eastAsia="georgia" w:cs="georgia" w:ascii="georgia" w:hAnsi="georgia"/>
          <w:color w:val="000000"/>
          <w:sz w:val="21"/>
        </w:rPr>
        <w:t xml:space="preserve">Short‑term: store at 2–8 °C for several days in sterile, sealed containers.[file:23]</w:t>
      </w:r>
    </w:p>
    <w:p>
      <w:pPr>
        <w:numPr>
          <w:ilvl w:val="0"/>
          <w:numId w:val="14"/>
        </w:numPr>
        <w:spacing w:line="360" w:before="105" w:after="105" w:lineRule="auto"/>
      </w:pPr>
      <w:r>
        <w:rPr>
          <w:rFonts w:eastAsia="georgia" w:cs="georgia" w:ascii="georgia" w:hAnsi="georgia"/>
          <w:color w:val="000000"/>
          <w:sz w:val="21"/>
        </w:rPr>
        <w:t xml:space="preserve">Long‑term: aliquot into single‑use volumes and store at −20 °C or below to limit freeze–thaw cycles.[file:23]</w:t>
      </w:r>
    </w:p>
    <w:p>
      <w:pPr>
        <w:numPr>
          <w:ilvl w:val="0"/>
          <w:numId w:val="14"/>
        </w:numPr>
        <w:spacing w:line="360" w:before="105" w:after="105" w:lineRule="auto"/>
      </w:pPr>
      <w:r>
        <w:rPr>
          <w:rFonts w:eastAsia="georgia" w:cs="georgia" w:ascii="georgia" w:hAnsi="georgia"/>
          <w:color w:val="000000"/>
          <w:sz w:val="21"/>
        </w:rPr>
        <w:t xml:space="preserve">Avoid more than 2–3 freeze–thaw cycles, as repeated cycling can gradually reduce peptide activity.[file:23]</w:t>
      </w:r>
    </w:p>
    <w:p>
      <w:pPr>
        <w:numPr>
          <w:ilvl w:val="0"/>
          <w:numId w:val="14"/>
        </w:numPr>
        <w:spacing w:line="360" w:before="105" w:after="105" w:lineRule="auto"/>
      </w:pPr>
      <w:r>
        <w:rPr>
          <w:rFonts w:eastAsia="georgia" w:cs="georgia" w:ascii="georgia" w:hAnsi="georgia"/>
          <w:color w:val="000000"/>
          <w:sz w:val="21"/>
        </w:rPr>
        <w:t xml:space="preserve">For very dilute solutions, consider adding a small amount of compatible carrier protein (such as low‑percentage BSA) to reduce adsorption losses; suitability must be validated against the downstream assay.[file:23]</w:t>
      </w:r>
    </w:p>
    <w:p>
      <w:pPr>
        <w:spacing w:line="360" w:after="210" w:lineRule="auto"/>
      </w:pPr>
      <w:r>
        <w:rPr>
          <w:rFonts w:eastAsia="georgia" w:cs="georgia" w:ascii="georgia" w:hAnsi="georgia"/>
          <w:color w:val="000000"/>
        </w:rPr>
        <w:t xml:space="preserve">These guidelines are based on general peptide handling practices and published MOTS‑c work; each laboratory must confirm stability under its own conditions.[file:23]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quality_and_analytical_characterization"/>
      <w:r>
        <w:rPr>
          <w:rFonts w:eastAsia="georgia" w:cs="georgia" w:ascii="georgia" w:hAnsi="georgia"/>
          <w:b/>
          <w:color w:val="000000"/>
          <w:sz w:val="24"/>
        </w:rPr>
        <w:t xml:space="preserve">Quality and analytical characterization</w:t>
      </w:r>
      <w:bookmarkEnd w:id="21"/>
    </w:p>
    <w:p>
      <w:pPr>
        <w:spacing w:line="360" w:after="210" w:lineRule="auto"/>
      </w:pPr>
      <w:r>
        <w:rPr>
          <w:rFonts w:eastAsia="georgia" w:cs="georgia" w:ascii="georgia" w:hAnsi="georgia"/>
          <w:color w:val="000000"/>
        </w:rPr>
        <w:t xml:space="preserve">Each lot of MOTS‑c is typically qualified using analytical methods that are standard for research‑grade peptides.[file:23]</w:t>
      </w:r>
    </w:p>
    <w:p>
      <w:pPr>
        <w:spacing w:line="360" w:after="210" w:lineRule="auto"/>
      </w:pPr>
      <w:r>
        <w:rPr>
          <w:rFonts w:eastAsia="georgia" w:cs="georgia" w:ascii="georgia" w:hAnsi="georgia"/>
          <w:color w:val="000000"/>
        </w:rPr>
        <w:t xml:space="preserve">A representative quality profile includes:</w:t>
      </w:r>
    </w:p>
    <w:p>
      <w:pPr>
        <w:numPr>
          <w:ilvl w:val="0"/>
          <w:numId w:val="15"/>
        </w:numPr>
        <w:spacing w:line="360" w:after="210" w:lineRule="auto"/>
      </w:pPr>
      <w:r>
        <w:rPr>
          <w:rFonts w:eastAsia="georgia" w:cs="georgia" w:ascii="georgia" w:hAnsi="georgia"/>
          <w:b/>
          <w:color w:val="000000"/>
          <w:sz w:val="21"/>
        </w:rPr>
        <w:t xml:space="preserve">Purity</w:t>
      </w:r>
    </w:p>
    <w:p>
      <w:pPr>
        <w:numPr>
          <w:ilvl w:val="1"/>
          <w:numId w:val="15"/>
        </w:numPr>
        <w:spacing w:line="360" w:before="105" w:after="105" w:lineRule="auto"/>
      </w:pPr>
      <w:r>
        <w:rPr>
          <w:rFonts w:eastAsia="georgia" w:cs="georgia" w:ascii="georgia" w:hAnsi="georgia"/>
          <w:color w:val="000000"/>
          <w:sz w:val="21"/>
        </w:rPr>
        <w:t xml:space="preserve">≥ 98% purity by reversed‑phase HPLC.</w:t>
      </w:r>
    </w:p>
    <w:p>
      <w:pPr>
        <w:numPr>
          <w:ilvl w:val="1"/>
          <w:numId w:val="15"/>
        </w:numPr>
        <w:spacing w:line="360" w:before="105" w:after="105" w:lineRule="auto"/>
      </w:pPr>
      <w:r>
        <w:rPr>
          <w:rFonts w:eastAsia="georgia" w:cs="georgia" w:ascii="georgia" w:hAnsi="georgia"/>
          <w:color w:val="000000"/>
          <w:sz w:val="21"/>
        </w:rPr>
        <w:t xml:space="preserve">UV detection at wavelengths suitable for aromatic residues (e.g., 220 nm and 280 nm).</w:t>
      </w:r>
    </w:p>
    <w:p>
      <w:pPr>
        <w:numPr>
          <w:ilvl w:val="1"/>
          <w:numId w:val="15"/>
        </w:numPr>
        <w:spacing w:line="360" w:before="105" w:after="105" w:lineRule="auto"/>
      </w:pPr>
      <w:r>
        <w:rPr>
          <w:rFonts w:eastAsia="georgia" w:cs="georgia" w:ascii="georgia" w:hAnsi="georgia"/>
          <w:color w:val="000000"/>
          <w:sz w:val="21"/>
        </w:rPr>
        <w:t xml:space="preserve">Full peak integration and related‑substance analysis.</w:t>
      </w:r>
    </w:p>
    <w:p>
      <w:pPr>
        <w:numPr>
          <w:ilvl w:val="0"/>
          <w:numId w:val="15"/>
        </w:numPr>
        <w:spacing w:line="360" w:after="210" w:lineRule="auto"/>
      </w:pPr>
      <w:r>
        <w:rPr>
          <w:rFonts w:eastAsia="georgia" w:cs="georgia" w:ascii="georgia" w:hAnsi="georgia"/>
          <w:b/>
          <w:color w:val="000000"/>
          <w:sz w:val="21"/>
        </w:rPr>
        <w:t xml:space="preserve">Identity</w:t>
      </w:r>
    </w:p>
    <w:p>
      <w:pPr>
        <w:numPr>
          <w:ilvl w:val="1"/>
          <w:numId w:val="15"/>
        </w:numPr>
        <w:spacing w:line="360" w:before="105" w:after="105" w:lineRule="auto"/>
      </w:pPr>
      <w:r>
        <w:rPr>
          <w:rFonts w:eastAsia="georgia" w:cs="georgia" w:ascii="georgia" w:hAnsi="georgia"/>
          <w:color w:val="000000"/>
          <w:sz w:val="21"/>
        </w:rPr>
        <w:t xml:space="preserve">Electrospray ionization mass spectrometry (ESI‑MS) and/or MALDI‑TOF MS confirmation of the expected molecular weight.[file:23]</w:t>
      </w:r>
    </w:p>
    <w:p>
      <w:pPr>
        <w:numPr>
          <w:ilvl w:val="1"/>
          <w:numId w:val="15"/>
        </w:numPr>
        <w:spacing w:line="360" w:before="105" w:after="105" w:lineRule="auto"/>
      </w:pPr>
      <w:r>
        <w:rPr>
          <w:rFonts w:eastAsia="georgia" w:cs="georgia" w:ascii="georgia" w:hAnsi="georgia"/>
          <w:color w:val="000000"/>
          <w:sz w:val="21"/>
        </w:rPr>
        <w:t xml:space="preserve">Amino‑acid composition and, where performed, N‑terminal sequencing to confirm the reported sequence.[file:23]</w:t>
      </w:r>
    </w:p>
    <w:p>
      <w:pPr>
        <w:numPr>
          <w:ilvl w:val="0"/>
          <w:numId w:val="15"/>
        </w:numPr>
        <w:spacing w:line="360" w:after="210" w:lineRule="auto"/>
      </w:pPr>
      <w:r>
        <w:rPr>
          <w:rFonts w:eastAsia="georgia" w:cs="georgia" w:ascii="georgia" w:hAnsi="georgia"/>
          <w:b/>
          <w:color w:val="000000"/>
          <w:sz w:val="21"/>
        </w:rPr>
        <w:t xml:space="preserve">Content and contaminants</w:t>
      </w:r>
    </w:p>
    <w:p>
      <w:pPr>
        <w:numPr>
          <w:ilvl w:val="1"/>
          <w:numId w:val="15"/>
        </w:numPr>
        <w:spacing w:line="360" w:before="105" w:after="105" w:lineRule="auto"/>
      </w:pPr>
      <w:r>
        <w:rPr>
          <w:rFonts w:eastAsia="georgia" w:cs="georgia" w:ascii="georgia" w:hAnsi="georgia"/>
          <w:color w:val="000000"/>
          <w:sz w:val="21"/>
        </w:rPr>
        <w:t xml:space="preserve">Peptide content determination by weight to estimate the active fraction in the lyophilized material.[file:23]</w:t>
      </w:r>
    </w:p>
    <w:p>
      <w:pPr>
        <w:numPr>
          <w:ilvl w:val="1"/>
          <w:numId w:val="15"/>
        </w:numPr>
        <w:spacing w:line="360" w:before="105" w:after="105" w:lineRule="auto"/>
      </w:pPr>
      <w:r>
        <w:rPr>
          <w:rFonts w:eastAsia="georgia" w:cs="georgia" w:ascii="georgia" w:hAnsi="georgia"/>
          <w:color w:val="000000"/>
          <w:sz w:val="21"/>
        </w:rPr>
        <w:t xml:space="preserve">Bacterial endotoxin testing (e.g., &lt; 5 EU/mg where specified), heavy‑metal checks, and residual solvent analysis within typical research‑grade limits.[file:23]</w:t>
      </w:r>
    </w:p>
    <w:p>
      <w:pPr>
        <w:numPr>
          <w:ilvl w:val="1"/>
          <w:numId w:val="15"/>
        </w:numPr>
        <w:spacing w:line="360" w:before="105" w:after="105" w:lineRule="auto"/>
      </w:pPr>
      <w:r>
        <w:rPr>
          <w:rFonts w:eastAsia="georgia" w:cs="georgia" w:ascii="georgia" w:hAnsi="georgia"/>
          <w:color w:val="000000"/>
          <w:sz w:val="21"/>
        </w:rPr>
        <w:t xml:space="preserve">Water content assessment for the lyophilized powder using methods such as Karl Fischer titration.[file:23]</w:t>
      </w:r>
    </w:p>
    <w:p>
      <w:pPr>
        <w:numPr>
          <w:ilvl w:val="0"/>
          <w:numId w:val="15"/>
        </w:numPr>
        <w:spacing w:line="360" w:after="210" w:lineRule="auto"/>
      </w:pPr>
      <w:r>
        <w:rPr>
          <w:rFonts w:eastAsia="georgia" w:cs="georgia" w:ascii="georgia" w:hAnsi="georgia"/>
          <w:b/>
          <w:color w:val="000000"/>
          <w:sz w:val="21"/>
        </w:rPr>
        <w:t xml:space="preserve">Stability documentation</w:t>
      </w:r>
    </w:p>
    <w:p>
      <w:pPr>
        <w:numPr>
          <w:ilvl w:val="1"/>
          <w:numId w:val="15"/>
        </w:numPr>
        <w:spacing w:line="360" w:before="105" w:after="105" w:lineRule="auto"/>
      </w:pPr>
      <w:r>
        <w:rPr>
          <w:rFonts w:eastAsia="georgia" w:cs="georgia" w:ascii="georgia" w:hAnsi="georgia"/>
          <w:color w:val="000000"/>
          <w:sz w:val="21"/>
        </w:rPr>
        <w:t xml:space="preserve">Accelerated and real‑time stability studies under recommended storage conditions to define shelf‑life for unopened vials.[file:23]</w:t>
      </w:r>
    </w:p>
    <w:p>
      <w:pPr>
        <w:numPr>
          <w:ilvl w:val="1"/>
          <w:numId w:val="15"/>
        </w:numPr>
        <w:spacing w:line="360" w:before="105" w:after="105" w:lineRule="auto"/>
      </w:pPr>
      <w:r>
        <w:rPr>
          <w:rFonts w:eastAsia="georgia" w:cs="georgia" w:ascii="georgia" w:hAnsi="georgia"/>
          <w:color w:val="000000"/>
          <w:sz w:val="21"/>
        </w:rPr>
        <w:t xml:space="preserve">Freeze–thaw and solution stability evaluations in commonly used buffers where those data are available.[file:23]</w:t>
      </w:r>
    </w:p>
    <w:p>
      <w:pPr>
        <w:spacing w:line="360" w:after="210" w:lineRule="auto"/>
      </w:pPr>
      <w:r>
        <w:rPr>
          <w:rFonts w:eastAsia="georgia" w:cs="georgia" w:ascii="georgia" w:hAnsi="georgia"/>
          <w:color w:val="000000"/>
        </w:rPr>
        <w:t xml:space="preserve">A batch‑specific Certificate of Analysis (COA) should always be consulted for exact results, test methods, and acceptance criteria.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how_researchers_typically_use_mot_1fbd46"/>
      <w:r>
        <w:rPr>
          <w:rFonts w:eastAsia="georgia" w:cs="georgia" w:ascii="georgia" w:hAnsi="georgia"/>
          <w:b/>
          <w:color w:val="000000"/>
          <w:sz w:val="24"/>
        </w:rPr>
        <w:t xml:space="preserve">How researchers typically use MOTS‑c (examples)</w:t>
      </w:r>
      <w:bookmarkEnd w:id="22"/>
    </w:p>
    <w:p>
      <w:pPr>
        <w:spacing w:line="360" w:after="210" w:lineRule="auto"/>
      </w:pPr>
      <w:r>
        <w:rPr>
          <w:rFonts w:eastAsia="georgia" w:cs="georgia" w:ascii="georgia" w:hAnsi="georgia"/>
          <w:color w:val="000000"/>
        </w:rPr>
        <w:t xml:space="preserve">The exact design of any study is up to the investigator, but the literature provides several common patterns:[file:23]</w:t>
      </w:r>
    </w:p>
    <w:p>
      <w:pPr>
        <w:numPr>
          <w:ilvl w:val="0"/>
          <w:numId w:val="16"/>
        </w:numPr>
        <w:spacing w:line="360" w:after="210" w:lineRule="auto"/>
      </w:pPr>
      <w:r>
        <w:rPr>
          <w:rFonts w:eastAsia="georgia" w:cs="georgia" w:ascii="georgia" w:hAnsi="georgia"/>
          <w:b/>
          <w:color w:val="000000"/>
          <w:sz w:val="21"/>
        </w:rPr>
        <w:t xml:space="preserve">In‑vitro assays</w:t>
      </w:r>
    </w:p>
    <w:p>
      <w:pPr>
        <w:numPr>
          <w:ilvl w:val="1"/>
          <w:numId w:val="16"/>
        </w:numPr>
        <w:spacing w:line="360" w:before="105" w:after="105" w:lineRule="auto"/>
      </w:pPr>
      <w:r>
        <w:rPr>
          <w:rFonts w:eastAsia="georgia" w:cs="georgia" w:ascii="georgia" w:hAnsi="georgia"/>
          <w:color w:val="000000"/>
          <w:sz w:val="21"/>
        </w:rPr>
        <w:t xml:space="preserve">Treating cultured myocytes, adipocytes, hepatocytes, or neuronal cells with defined MOTS‑c concentrations to track changes in signaling, gene expression, or metabolic flux.</w:t>
      </w:r>
    </w:p>
    <w:p>
      <w:pPr>
        <w:numPr>
          <w:ilvl w:val="1"/>
          <w:numId w:val="16"/>
        </w:numPr>
        <w:spacing w:line="360" w:before="105" w:after="105" w:lineRule="auto"/>
      </w:pPr>
      <w:r>
        <w:rPr>
          <w:rFonts w:eastAsia="georgia" w:cs="georgia" w:ascii="georgia" w:hAnsi="georgia"/>
          <w:color w:val="000000"/>
          <w:sz w:val="21"/>
        </w:rPr>
        <w:t xml:space="preserve">Using Seahorse flux analysis, Western blotting, or transcriptomics to quantify pathway‑level responses.</w:t>
      </w:r>
    </w:p>
    <w:p>
      <w:pPr>
        <w:numPr>
          <w:ilvl w:val="0"/>
          <w:numId w:val="16"/>
        </w:numPr>
        <w:spacing w:line="360" w:after="210" w:lineRule="auto"/>
      </w:pPr>
      <w:r>
        <w:rPr>
          <w:rFonts w:eastAsia="georgia" w:cs="georgia" w:ascii="georgia" w:hAnsi="georgia"/>
          <w:b/>
          <w:color w:val="000000"/>
          <w:sz w:val="21"/>
        </w:rPr>
        <w:t xml:space="preserve">Ex‑vivo preparations</w:t>
      </w:r>
    </w:p>
    <w:p>
      <w:pPr>
        <w:numPr>
          <w:ilvl w:val="1"/>
          <w:numId w:val="16"/>
        </w:numPr>
        <w:spacing w:line="360" w:before="105" w:after="105" w:lineRule="auto"/>
      </w:pPr>
      <w:r>
        <w:rPr>
          <w:rFonts w:eastAsia="georgia" w:cs="georgia" w:ascii="georgia" w:hAnsi="georgia"/>
          <w:color w:val="000000"/>
          <w:sz w:val="21"/>
        </w:rPr>
        <w:t xml:space="preserve">Applying MOTS‑c to isolated tissues, mitochondrial preparations, or organotypic cultures to probe mitochondrial respiration, ROS production, or tissue‑specific signaling.</w:t>
      </w:r>
    </w:p>
    <w:p>
      <w:pPr>
        <w:numPr>
          <w:ilvl w:val="0"/>
          <w:numId w:val="16"/>
        </w:numPr>
        <w:spacing w:line="360" w:after="210" w:lineRule="auto"/>
      </w:pPr>
      <w:r>
        <w:rPr>
          <w:rFonts w:eastAsia="georgia" w:cs="georgia" w:ascii="georgia" w:hAnsi="georgia"/>
          <w:b/>
          <w:color w:val="000000"/>
          <w:sz w:val="21"/>
        </w:rPr>
        <w:t xml:space="preserve">In‑vivo preclinical experiments</w:t>
      </w:r>
    </w:p>
    <w:p>
      <w:pPr>
        <w:numPr>
          <w:ilvl w:val="1"/>
          <w:numId w:val="16"/>
        </w:numPr>
        <w:spacing w:line="360" w:before="105" w:after="105" w:lineRule="auto"/>
      </w:pPr>
      <w:r>
        <w:rPr>
          <w:rFonts w:eastAsia="georgia" w:cs="georgia" w:ascii="georgia" w:hAnsi="georgia"/>
          <w:color w:val="000000"/>
          <w:sz w:val="21"/>
        </w:rPr>
        <w:t xml:space="preserve">Administering MOTS‑c to rodents by intraperitoneal, subcutaneous, or intravenous routes in models of diet‑induced obesity, exercise training, aging, or brain injury.[file:23]</w:t>
      </w:r>
    </w:p>
    <w:p>
      <w:pPr>
        <w:numPr>
          <w:ilvl w:val="1"/>
          <w:numId w:val="16"/>
        </w:numPr>
        <w:spacing w:line="360" w:before="105" w:after="105" w:lineRule="auto"/>
      </w:pPr>
      <w:r>
        <w:rPr>
          <w:rFonts w:eastAsia="georgia" w:cs="georgia" w:ascii="georgia" w:hAnsi="georgia"/>
          <w:color w:val="000000"/>
          <w:sz w:val="21"/>
        </w:rPr>
        <w:t xml:space="preserve">Combining dosing regimens with glucose tolerance tests, exercise capacity assessments, metabolic cages, or high‑resolution phenotyping.</w:t>
      </w:r>
    </w:p>
    <w:p>
      <w:pPr>
        <w:spacing w:line="360" w:after="210" w:lineRule="auto"/>
      </w:pPr>
      <w:r>
        <w:rPr>
          <w:rFonts w:eastAsia="georgia" w:cs="georgia" w:ascii="georgia" w:hAnsi="georgia"/>
          <w:color w:val="000000"/>
        </w:rPr>
        <w:t xml:space="preserve">These are illustrative research uses reported in the literature and are not recommendations. Each institution must design and review its own protocols under applicable regulations.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why_choose_this_mots_c_format_for_d5b243"/>
      <w:r>
        <w:rPr>
          <w:rFonts w:eastAsia="georgia" w:cs="georgia" w:ascii="georgia" w:hAnsi="georgia"/>
          <w:b/>
          <w:color w:val="000000"/>
          <w:sz w:val="24"/>
        </w:rPr>
        <w:t xml:space="preserve">Why choose this MOTS‑c format for your lab</w:t>
      </w:r>
      <w:bookmarkEnd w:id="23"/>
    </w:p>
    <w:p>
      <w:pPr>
        <w:spacing w:line="360" w:after="210" w:lineRule="auto"/>
      </w:pPr>
      <w:r>
        <w:rPr>
          <w:rFonts w:eastAsia="georgia" w:cs="georgia" w:ascii="georgia" w:hAnsi="georgia"/>
          <w:color w:val="000000"/>
        </w:rPr>
        <w:t xml:space="preserve">From an e‑commerce and operations perspective, this product page is designed to give research customers enough information to evaluate whether MOTS‑c fits into their experimental workflows while making it clear that the peptide is for laboratory use only.</w:t>
      </w:r>
    </w:p>
    <w:p>
      <w:pPr>
        <w:spacing w:line="360" w:after="210" w:lineRule="auto"/>
      </w:pPr>
      <w:r>
        <w:rPr>
          <w:rFonts w:eastAsia="georgia" w:cs="georgia" w:ascii="georgia" w:hAnsi="georgia"/>
          <w:color w:val="000000"/>
        </w:rPr>
        <w:t xml:space="preserve">Key practical benefits:</w:t>
      </w:r>
    </w:p>
    <w:p>
      <w:pPr>
        <w:numPr>
          <w:ilvl w:val="0"/>
          <w:numId w:val="17"/>
        </w:numPr>
        <w:spacing w:line="360" w:before="105" w:after="105" w:lineRule="auto"/>
      </w:pPr>
      <w:r>
        <w:rPr>
          <w:rFonts w:eastAsia="georgia" w:cs="georgia" w:ascii="georgia" w:hAnsi="georgia"/>
          <w:color w:val="000000"/>
          <w:sz w:val="21"/>
        </w:rPr>
        <w:t xml:space="preserve">Clear, consolidated technical details (sequence, molecular data, storage) upfront.</w:t>
      </w:r>
    </w:p>
    <w:p>
      <w:pPr>
        <w:numPr>
          <w:ilvl w:val="0"/>
          <w:numId w:val="17"/>
        </w:numPr>
        <w:spacing w:line="360" w:before="105" w:after="105" w:lineRule="auto"/>
      </w:pPr>
      <w:r>
        <w:rPr>
          <w:rFonts w:eastAsia="georgia" w:cs="georgia" w:ascii="georgia" w:hAnsi="georgia"/>
          <w:color w:val="000000"/>
          <w:sz w:val="21"/>
        </w:rPr>
        <w:t xml:space="preserve">Research‑focused background that summarizes why MOTS‑c is of interest in metabolic and aging biology.[file:23]</w:t>
      </w:r>
    </w:p>
    <w:p>
      <w:pPr>
        <w:numPr>
          <w:ilvl w:val="0"/>
          <w:numId w:val="17"/>
        </w:numPr>
        <w:spacing w:line="360" w:before="105" w:after="105" w:lineRule="auto"/>
      </w:pPr>
      <w:r>
        <w:rPr>
          <w:rFonts w:eastAsia="georgia" w:cs="georgia" w:ascii="georgia" w:hAnsi="georgia"/>
          <w:color w:val="000000"/>
          <w:sz w:val="21"/>
        </w:rPr>
        <w:t xml:space="preserve">Handling and storage guidance aligned with typical peptide‑research practice.[file:23]</w:t>
      </w:r>
    </w:p>
    <w:p>
      <w:pPr>
        <w:numPr>
          <w:ilvl w:val="0"/>
          <w:numId w:val="17"/>
        </w:numPr>
        <w:spacing w:line="360" w:before="105" w:after="105" w:lineRule="auto"/>
      </w:pPr>
      <w:r>
        <w:rPr>
          <w:rFonts w:eastAsia="georgia" w:cs="georgia" w:ascii="georgia" w:hAnsi="georgia"/>
          <w:color w:val="000000"/>
          <w:sz w:val="21"/>
        </w:rPr>
        <w:t xml:space="preserve">Emphasis on purity, identity testing, and documentation through batch COAs.[file:23]</w:t>
      </w:r>
    </w:p>
    <w:p>
      <w:pPr>
        <w:spacing w:line="360" w:after="210" w:lineRule="auto"/>
      </w:pPr>
      <w:r>
        <w:rPr>
          <w:rFonts w:eastAsia="georgia" w:cs="georgia" w:ascii="georgia" w:hAnsi="georgia"/>
          <w:color w:val="000000"/>
        </w:rPr>
        <w:t xml:space="preserve">If more specific documentation is required (for example, raw chromatograms or method details), your operations flow can route customers to request COAs and QC reports for the exact lot they intend to purchase.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research_only_notice_and_complian_d5bc9a"/>
      <w:r>
        <w:rPr>
          <w:rFonts w:eastAsia="georgia" w:cs="georgia" w:ascii="georgia" w:hAnsi="georgia"/>
          <w:b/>
          <w:color w:val="000000"/>
          <w:sz w:val="24"/>
        </w:rPr>
        <w:t xml:space="preserve">Research‑only notice and compliance language</w:t>
      </w:r>
      <w:bookmarkEnd w:id="24"/>
    </w:p>
    <w:p>
      <w:pPr>
        <w:spacing w:line="360" w:after="210" w:lineRule="auto"/>
      </w:pPr>
      <w:r>
        <w:rPr>
          <w:rFonts w:eastAsia="georgia" w:cs="georgia" w:ascii="georgia" w:hAnsi="georgia"/>
          <w:color w:val="000000"/>
        </w:rPr>
        <w:t xml:space="preserve">This section is formatted so it can be dropped directly into a “Warning” or “Compliance” box on the live product page.</w:t>
      </w:r>
    </w:p>
    <w:p>
      <w:pPr>
        <w:spacing w:line="360" w:after="210" w:lineRule="auto"/>
        <w:ind w:left="630"/>
      </w:pPr>
      <w:r>
        <w:rPr>
          <w:rFonts w:eastAsia="georgia" w:cs="georgia" w:ascii="georgia" w:hAnsi="georgia"/>
          <w:b/>
          <w:color w:val="000000"/>
        </w:rPr>
        <w:t xml:space="preserve">FOR LABORATORY RESEARCH USE ONLY – NOT FOR HUMAN OR VETERINARY USE</w:t>
      </w:r>
      <w:r>
        <w:rPr>
          <w:rFonts w:eastAsia="georgia" w:cs="georgia" w:ascii="georgia" w:hAnsi="georgia"/>
          <w:color w:val="000000"/>
        </w:rPr>
        <w:br w:type="textWrapping"/>
      </w:r>
      <w:r>
        <w:rPr>
          <w:rFonts w:eastAsia="georgia" w:cs="georgia" w:ascii="georgia" w:hAnsi="georgia"/>
          <w:color w:val="000000"/>
        </w:rPr>
        <w:t xml:space="preserve">This MOTS‑c product is supplied solely as a research chemical for in‑vitro and preclinical laboratory work.[file:23] It is not a drug, food, cosmetic, dietary supplement, or medical product, and it has not been evaluated or approved by the FDA or any other regulatory authority for use in humans or animals.[file:23]</w:t>
      </w:r>
    </w:p>
    <w:p>
      <w:pPr>
        <w:spacing w:line="360" w:after="210" w:lineRule="auto"/>
        <w:ind w:left="630"/>
      </w:pPr>
      <w:r>
        <w:rPr>
          <w:rFonts w:eastAsia="georgia" w:cs="georgia" w:ascii="georgia" w:hAnsi="georgia"/>
          <w:color w:val="000000"/>
        </w:rPr>
        <w:t xml:space="preserve">This material must not be used for diagnosis, treatment, mitigation, cure, or prevention of any disease and must not be administered to humans or animals under any circumstances outside properly approved research protocols. All handling should be restricted to trained professionals operating in appropriately equipped research facilities and following institutional safety, ethical, and compliance guidelines.[file:23]</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2026-04-27T16:37:05.431Z</dcterms:created>
  <dcterms:modified xsi:type="dcterms:W3CDTF">2026-04-27T16:37:05.431Z</dcterms:modified>
</cp:coreProperties>
</file>