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nad_500_mg_nicotinamide_adenine_d_f995c0"/>
      <w:r>
        <w:rPr>
          <w:rFonts w:eastAsia="georgia" w:cs="georgia" w:ascii="georgia" w:hAnsi="georgia"/>
          <w:b/>
          <w:color w:val="000000"/>
          <w:sz w:val="39"/>
        </w:rPr>
        <w:t xml:space="preserve">NAD⁺ 500 mg – Nicotinamide Adenine Dinucleotide Research Grade Coenzyme</w:t>
      </w:r>
      <w:bookmarkEnd w:id="0"/>
    </w:p>
    <w:p>
      <w:pPr>
        <w:spacing w:line="360" w:before="315" w:after="105" w:lineRule="auto"/>
        <w:ind w:left="-30"/>
        <w:jc w:val="left"/>
      </w:pPr>
      <w:bookmarkStart w:id="1" w:name="product_overview"/>
      <w:r>
        <w:rPr>
          <w:rFonts w:eastAsia="georgia" w:cs="georgia" w:ascii="georgia" w:hAnsi="georgia"/>
          <w:b/>
          <w:color w:val="000000"/>
          <w:sz w:val="24"/>
        </w:rPr>
        <w:t xml:space="preserve">Product overview</w:t>
      </w:r>
      <w:bookmarkEnd w:id="1"/>
    </w:p>
    <w:p>
      <w:pPr>
        <w:spacing w:line="360" w:after="210" w:lineRule="auto"/>
      </w:pPr>
      <w:r>
        <w:rPr>
          <w:rFonts w:eastAsia="georgia" w:cs="georgia" w:ascii="georgia" w:hAnsi="georgia"/>
          <w:color w:val="000000"/>
        </w:rPr>
        <w:t xml:space="preserve">Nicotinamide adenine dinucleotide (NAD⁺) is an oxidized dinucleotide coenzyme present in all living cells and central to cellular metabolism.[web:180][web:186][web:189] It cycles between oxidized (NAD⁺) and reduced (NADH) states to support redox reactions in glycolysis, the tricarboxylic acid (TCA) cycle, β‑oxidation, and oxidative phosphorylation.[web:180][web:186][web:192] Beyond its classical electron‑carrier role, NAD⁺ serves as a consumable substrate for multiple enzyme families including sirtuins, PARPs, and CD38/CD157, linking cellular energy status to gene regulation, DNA repair, and stress‑response pathways.[web:184][web:187][web:190]</w:t>
      </w:r>
    </w:p>
    <w:p>
      <w:pPr>
        <w:spacing w:line="360" w:after="210" w:lineRule="auto"/>
      </w:pPr>
      <w:r>
        <w:rPr>
          <w:rFonts w:eastAsia="georgia" w:cs="georgia" w:ascii="georgia" w:hAnsi="georgia"/>
          <w:color w:val="000000"/>
        </w:rPr>
        <w:t xml:space="preserve">The NAD⁺ 500 mg presentation provides a high‑capacity vial of research‑grade, lyophilized coenzyme suitable for metabolic, mitochondrial, aging, and disease‑mechanism studies that require repeated dosing or large experimental cohorts. This material is intended strictly for in‑vitro use and preclinical animal research and is not approved for human consumption or therapeutic application.[web:182][web:183][web:194]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quick_product_snapshot"/>
      <w:r>
        <w:rPr>
          <w:rFonts w:eastAsia="georgia" w:cs="georgia" w:ascii="georgia" w:hAnsi="georgia"/>
          <w:b/>
          <w:color w:val="000000"/>
          <w:sz w:val="24"/>
        </w:rPr>
        <w:t xml:space="preserve">Quick product snapshot</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NAD⁺ 500 mg (Nicotinamide Adenine Dinucleotide, oxidized)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Coenzyme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Oxidized dinucleotide coenzyme (NAD⁺ / β‑NAD)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Content per vial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500 mg lyophilized NAD⁺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Molecular formula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C₂₁H₂₇N₇O₁₄P₂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Molecular weight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~663.43 g/mol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 number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53‑84‑9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PubChem CID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roles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Redox cofactor; substrate for sirtuins, PARPs, CD38/157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Appearance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White to off‑white hygroscopic powder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Storage (dry)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 °C or below, protected from light and moisture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Intended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In‑vitro and preclinical research only</w:t>
            </w:r>
          </w:p>
        </w:tc>
      </w:tr>
    </w:tbl>
    <w:p>
      <w:pPr>
        <w:spacing w:lineRule="auto"/>
      </w:pPr>
    </w:p>
    <w:p>
      <w:pPr>
        <w:spacing w:line="360" w:after="210" w:lineRule="auto"/>
      </w:pPr>
      <w:r>
        <w:rPr>
          <w:rFonts w:eastAsia="georgia" w:cs="georgia" w:ascii="georgia" w:hAnsi="georgia"/>
          <w:color w:val="000000"/>
        </w:rPr>
        <w:t xml:space="preserve">These identifiers and physicochemical properties align with widely cited references for oxidized NAD⁺.[web:180][web:183][web:186][web:189]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dentity_and_structure"/>
      <w:r>
        <w:rPr>
          <w:rFonts w:eastAsia="georgia" w:cs="georgia" w:ascii="georgia" w:hAnsi="georgia"/>
          <w:b/>
          <w:color w:val="000000"/>
          <w:sz w:val="24"/>
        </w:rPr>
        <w:t xml:space="preserve">Identity and structure</w:t>
      </w:r>
      <w:bookmarkEnd w:id="3"/>
    </w:p>
    <w:p>
      <w:pPr>
        <w:spacing w:line="360" w:after="210" w:lineRule="auto"/>
      </w:pPr>
      <w:r>
        <w:rPr>
          <w:rFonts w:eastAsia="georgia" w:cs="georgia" w:ascii="georgia" w:hAnsi="georgia"/>
          <w:color w:val="000000"/>
        </w:rPr>
        <w:t xml:space="preserve">NAD⁺ is not a peptide but a dinucleotide composed of adenosine monophosphate (AMP) and nicotinamide mononucleotide (NMN) joined through their phosphate groups.[web:180][web:186][web:189] One nucleotide contains an adenine base, while the other carries a nicotinamide base; together, they form a coenzyme that accepts and donates hydride equivalents during redox reactions.</w:t>
      </w:r>
    </w:p>
    <w:p>
      <w:pPr>
        <w:spacing w:line="360" w:after="210" w:lineRule="auto"/>
      </w:pPr>
      <w:r>
        <w:rPr>
          <w:rFonts w:eastAsia="georgia" w:cs="georgia" w:ascii="georgia" w:hAnsi="georgia"/>
          <w:color w:val="000000"/>
        </w:rPr>
        <w:t xml:space="preserve">Key identity points:</w:t>
      </w:r>
    </w:p>
    <w:p>
      <w:pPr>
        <w:numPr>
          <w:ilvl w:val="0"/>
          <w:numId w:val="1"/>
        </w:numPr>
        <w:spacing w:line="360" w:before="105" w:after="105" w:lineRule="auto"/>
      </w:pPr>
      <w:r>
        <w:rPr>
          <w:rFonts w:eastAsia="georgia" w:cs="georgia" w:ascii="georgia" w:hAnsi="georgia"/>
          <w:color w:val="000000"/>
          <w:sz w:val="21"/>
        </w:rPr>
        <w:t xml:space="preserve">Chemical name: β‑nicotinamide adenine dinucleotide (oxidized form).</w:t>
      </w:r>
    </w:p>
    <w:p>
      <w:pPr>
        <w:numPr>
          <w:ilvl w:val="0"/>
          <w:numId w:val="1"/>
        </w:numPr>
        <w:spacing w:line="360" w:before="105" w:after="105" w:lineRule="auto"/>
      </w:pPr>
      <w:r>
        <w:rPr>
          <w:rFonts w:eastAsia="georgia" w:cs="georgia" w:ascii="georgia" w:hAnsi="georgia"/>
          <w:color w:val="000000"/>
          <w:sz w:val="21"/>
        </w:rPr>
        <w:t xml:space="preserve">Molecular formula: C₂₁H₂₇N₇O₁₄P₂; molecular weight ~663.43 g/mol.[web:180][web:183][web:189]</w:t>
      </w:r>
    </w:p>
    <w:p>
      <w:pPr>
        <w:numPr>
          <w:ilvl w:val="0"/>
          <w:numId w:val="1"/>
        </w:numPr>
        <w:spacing w:line="360" w:before="105" w:after="105" w:lineRule="auto"/>
      </w:pPr>
      <w:r>
        <w:rPr>
          <w:rFonts w:eastAsia="georgia" w:cs="georgia" w:ascii="georgia" w:hAnsi="georgia"/>
          <w:color w:val="000000"/>
          <w:sz w:val="21"/>
        </w:rPr>
        <w:t xml:space="preserve">Structural motif: adenine‑containing ribonucleotide linked to a nicotinamide‑containing ribonucleotide via a pyrophosphate bridge.[web:186][web:189]</w:t>
      </w:r>
    </w:p>
    <w:p>
      <w:pPr>
        <w:spacing w:line="360" w:after="210" w:lineRule="auto"/>
      </w:pPr>
      <w:r>
        <w:rPr>
          <w:rFonts w:eastAsia="georgia" w:cs="georgia" w:ascii="georgia" w:hAnsi="georgia"/>
          <w:color w:val="000000"/>
        </w:rPr>
        <w:t xml:space="preserve">The nicotinamide ring provides the redox‑active site that accepts a hydride ion (H⁻) to form NADH, while the adenosine portion supports enzyme recognition and binding.[web:186][web:190]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cientific_background_non_clinical"/>
      <w:r>
        <w:rPr>
          <w:rFonts w:eastAsia="georgia" w:cs="georgia" w:ascii="georgia" w:hAnsi="georgia"/>
          <w:b/>
          <w:color w:val="000000"/>
          <w:sz w:val="24"/>
        </w:rPr>
        <w:t xml:space="preserve">Scientific background (non‑clinical)</w:t>
      </w:r>
      <w:bookmarkEnd w:id="4"/>
    </w:p>
    <w:p>
      <w:pPr>
        <w:spacing w:line="360" w:before="315" w:after="105" w:lineRule="auto"/>
        <w:ind w:left="-30"/>
        <w:jc w:val="left"/>
      </w:pPr>
      <w:bookmarkStart w:id="5" w:name="central_role_in_metabolism"/>
      <w:r>
        <w:rPr>
          <w:rFonts w:eastAsia="georgia" w:cs="georgia" w:ascii="georgia" w:hAnsi="georgia"/>
          <w:b/>
          <w:color w:val="000000"/>
          <w:sz w:val="24"/>
        </w:rPr>
        <w:t xml:space="preserve">Central role in metabolism</w:t>
      </w:r>
      <w:bookmarkEnd w:id="5"/>
    </w:p>
    <w:p>
      <w:pPr>
        <w:spacing w:line="360" w:after="210" w:lineRule="auto"/>
      </w:pPr>
      <w:r>
        <w:rPr>
          <w:rFonts w:eastAsia="georgia" w:cs="georgia" w:ascii="georgia" w:hAnsi="georgia"/>
          <w:color w:val="000000"/>
        </w:rPr>
        <w:t xml:space="preserve">In cellular metabolism, NAD⁺/NADH couples function as key electron carriers across glycolysis, the TCA cycle, and mitochondrial oxidative phosphorylation.[web:180][web:186][web:192] NAD⁺ accepts electrons from dehydrogenase reactions to form NADH, which in turn donates electrons to the respiratory chain, driving ATP production.</w:t>
      </w:r>
    </w:p>
    <w:p>
      <w:pPr>
        <w:spacing w:line="360" w:after="210" w:lineRule="auto"/>
      </w:pPr>
      <w:r>
        <w:rPr>
          <w:rFonts w:eastAsia="georgia" w:cs="georgia" w:ascii="georgia" w:hAnsi="georgia"/>
          <w:color w:val="000000"/>
        </w:rPr>
        <w:t xml:space="preserve">The intracellular NAD⁺/NADH ratio is a fundamental indicator of redox state and influences metabolic pathway directionality and flux.[web:186][web:190] Research frequently uses NAD⁺ availability and redox ratios as readouts of cellular energetic status.</w:t>
      </w:r>
    </w:p>
    <w:p>
      <w:pPr>
        <w:spacing w:line="360" w:before="315" w:after="105" w:lineRule="auto"/>
        <w:ind w:left="-30"/>
        <w:jc w:val="left"/>
      </w:pPr>
      <w:bookmarkStart w:id="6" w:name="substrate_for_nad_consuming_enzymes"/>
      <w:r>
        <w:rPr>
          <w:rFonts w:eastAsia="georgia" w:cs="georgia" w:ascii="georgia" w:hAnsi="georgia"/>
          <w:b/>
          <w:color w:val="000000"/>
          <w:sz w:val="24"/>
        </w:rPr>
        <w:t xml:space="preserve">Substrate for NAD⁺‑consuming enzymes</w:t>
      </w:r>
      <w:bookmarkEnd w:id="6"/>
    </w:p>
    <w:p>
      <w:pPr>
        <w:spacing w:line="360" w:after="210" w:lineRule="auto"/>
      </w:pPr>
      <w:r>
        <w:rPr>
          <w:rFonts w:eastAsia="georgia" w:cs="georgia" w:ascii="georgia" w:hAnsi="georgia"/>
          <w:color w:val="000000"/>
        </w:rPr>
        <w:t xml:space="preserve">Beyond redox chemistry, NAD⁺ is an essential substrate for several enzyme families:[web:184][web:187][web:190]</w:t>
      </w:r>
    </w:p>
    <w:p>
      <w:pPr>
        <w:numPr>
          <w:ilvl w:val="0"/>
          <w:numId w:val="2"/>
        </w:numPr>
        <w:spacing w:line="360" w:before="105" w:after="105" w:lineRule="auto"/>
      </w:pPr>
      <w:r>
        <w:rPr>
          <w:rFonts w:eastAsia="georgia" w:cs="georgia" w:ascii="georgia" w:hAnsi="georgia"/>
          <w:b/>
          <w:color w:val="000000"/>
          <w:sz w:val="21"/>
        </w:rPr>
        <w:t xml:space="preserve">Sirtuins (SIRT1–7)</w:t>
      </w:r>
      <w:r>
        <w:rPr>
          <w:rFonts w:eastAsia="georgia" w:cs="georgia" w:ascii="georgia" w:hAnsi="georgia"/>
          <w:color w:val="000000"/>
          <w:sz w:val="21"/>
        </w:rPr>
        <w:t xml:space="preserve"> – NAD⁺‑dependent deacylases that regulate transcription, mitochondrial function, stress responses, and metabolic pathways.</w:t>
      </w:r>
    </w:p>
    <w:p>
      <w:pPr>
        <w:numPr>
          <w:ilvl w:val="0"/>
          <w:numId w:val="2"/>
        </w:numPr>
        <w:spacing w:line="360" w:before="105" w:after="105" w:lineRule="auto"/>
      </w:pPr>
      <w:r>
        <w:rPr>
          <w:rFonts w:eastAsia="georgia" w:cs="georgia" w:ascii="georgia" w:hAnsi="georgia"/>
          <w:b/>
          <w:color w:val="000000"/>
          <w:sz w:val="21"/>
        </w:rPr>
        <w:t xml:space="preserve">PARPs (poly‑ADP‑ribose polymerases)</w:t>
      </w:r>
      <w:r>
        <w:rPr>
          <w:rFonts w:eastAsia="georgia" w:cs="georgia" w:ascii="georgia" w:hAnsi="georgia"/>
          <w:color w:val="000000"/>
          <w:sz w:val="21"/>
        </w:rPr>
        <w:t xml:space="preserve"> – enzymes that consume NAD⁺ during DNA damage detection and repair.</w:t>
      </w:r>
    </w:p>
    <w:p>
      <w:pPr>
        <w:numPr>
          <w:ilvl w:val="0"/>
          <w:numId w:val="2"/>
        </w:numPr>
        <w:spacing w:line="360" w:before="105" w:after="105" w:lineRule="auto"/>
      </w:pPr>
      <w:r>
        <w:rPr>
          <w:rFonts w:eastAsia="georgia" w:cs="georgia" w:ascii="georgia" w:hAnsi="georgia"/>
          <w:b/>
          <w:color w:val="000000"/>
          <w:sz w:val="21"/>
        </w:rPr>
        <w:t xml:space="preserve">CD38 and CD157</w:t>
      </w:r>
      <w:r>
        <w:rPr>
          <w:rFonts w:eastAsia="georgia" w:cs="georgia" w:ascii="georgia" w:hAnsi="georgia"/>
          <w:color w:val="000000"/>
          <w:sz w:val="21"/>
        </w:rPr>
        <w:t xml:space="preserve"> – NADases that generate signalling metabolites and modulate calcium signalling and immune cell function.</w:t>
      </w:r>
    </w:p>
    <w:p>
      <w:pPr>
        <w:spacing w:line="360" w:after="210" w:lineRule="auto"/>
      </w:pPr>
      <w:r>
        <w:rPr>
          <w:rFonts w:eastAsia="georgia" w:cs="georgia" w:ascii="georgia" w:hAnsi="georgia"/>
          <w:color w:val="000000"/>
        </w:rPr>
        <w:t xml:space="preserve">Competition among these enzymes for the cellular NAD⁺ pool links DNA repair, gene regulation, metabolic control, and inflammatory pathways to shared NAD⁺ availability.[web:184][web:187][web:190]</w:t>
      </w:r>
    </w:p>
    <w:p>
      <w:pPr>
        <w:spacing w:line="360" w:before="315" w:after="105" w:lineRule="auto"/>
        <w:ind w:left="-30"/>
        <w:jc w:val="left"/>
      </w:pPr>
      <w:bookmarkStart w:id="7" w:name="aging_and_nad_decline"/>
      <w:r>
        <w:rPr>
          <w:rFonts w:eastAsia="georgia" w:cs="georgia" w:ascii="georgia" w:hAnsi="georgia"/>
          <w:b/>
          <w:color w:val="000000"/>
          <w:sz w:val="24"/>
        </w:rPr>
        <w:t xml:space="preserve">Aging and NAD⁺ decline</w:t>
      </w:r>
      <w:bookmarkEnd w:id="7"/>
    </w:p>
    <w:p>
      <w:pPr>
        <w:spacing w:line="360" w:after="210" w:lineRule="auto"/>
      </w:pPr>
      <w:r>
        <w:rPr>
          <w:rFonts w:eastAsia="georgia" w:cs="georgia" w:ascii="georgia" w:hAnsi="georgia"/>
          <w:color w:val="000000"/>
        </w:rPr>
        <w:t xml:space="preserve">Multiple studies report that tissue NAD⁺ levels fall with age and chronic metabolic stress, correlating with mitochondrial dysfunction, impaired sirtuin activity, and increased inflammation.[web:184][web:187][web:190][web:193] Preclinical work using NAD⁺ precursors or NAD⁺‑boosting strategies shows improvements in metabolic health, mitochondrial performance, and markers of healthspan in animal models, but direct NAD⁺ interventions remain primarily in the research domain.[web:181][web:187][web:190]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500_mg_format_in_research_workflows"/>
      <w:r>
        <w:rPr>
          <w:rFonts w:eastAsia="georgia" w:cs="georgia" w:ascii="georgia" w:hAnsi="georgia"/>
          <w:b/>
          <w:color w:val="000000"/>
          <w:sz w:val="24"/>
        </w:rPr>
        <w:t xml:space="preserve">500 mg format in research workflows</w:t>
      </w:r>
      <w:bookmarkEnd w:id="8"/>
    </w:p>
    <w:p>
      <w:pPr>
        <w:spacing w:line="360" w:after="210" w:lineRule="auto"/>
      </w:pPr>
      <w:r>
        <w:rPr>
          <w:rFonts w:eastAsia="georgia" w:cs="georgia" w:ascii="georgia" w:hAnsi="georgia"/>
          <w:color w:val="000000"/>
        </w:rPr>
        <w:t xml:space="preserve">The 500 mg NAD⁺ vial is designed for laboratories that need larger quantities for repeated or extended experiments:[web:182][web:188][web:194]</w:t>
      </w:r>
    </w:p>
    <w:p>
      <w:pPr>
        <w:numPr>
          <w:ilvl w:val="0"/>
          <w:numId w:val="3"/>
        </w:numPr>
        <w:spacing w:line="360" w:before="105" w:after="105" w:lineRule="auto"/>
      </w:pPr>
      <w:r>
        <w:rPr>
          <w:rFonts w:eastAsia="georgia" w:cs="georgia" w:ascii="georgia" w:hAnsi="georgia"/>
          <w:color w:val="000000"/>
          <w:sz w:val="21"/>
        </w:rPr>
        <w:t xml:space="preserve">Supports long‑term in‑vitro studies (e.g., chronic cell‑culture supplementation, enzyme kinetics, redox assays).</w:t>
      </w:r>
    </w:p>
    <w:p>
      <w:pPr>
        <w:numPr>
          <w:ilvl w:val="0"/>
          <w:numId w:val="3"/>
        </w:numPr>
        <w:spacing w:line="360" w:before="105" w:after="105" w:lineRule="auto"/>
      </w:pPr>
      <w:r>
        <w:rPr>
          <w:rFonts w:eastAsia="georgia" w:cs="georgia" w:ascii="georgia" w:hAnsi="georgia"/>
          <w:color w:val="000000"/>
          <w:sz w:val="21"/>
        </w:rPr>
        <w:t xml:space="preserve">Enables multi‑cohort or multi‑dose in‑vivo animal protocols in metabolism, aging, and organ‑function models.</w:t>
      </w:r>
    </w:p>
    <w:p>
      <w:pPr>
        <w:numPr>
          <w:ilvl w:val="0"/>
          <w:numId w:val="3"/>
        </w:numPr>
        <w:spacing w:line="360" w:before="105" w:after="105" w:lineRule="auto"/>
      </w:pPr>
      <w:r>
        <w:rPr>
          <w:rFonts w:eastAsia="georgia" w:cs="georgia" w:ascii="georgia" w:hAnsi="georgia"/>
          <w:color w:val="000000"/>
          <w:sz w:val="21"/>
        </w:rPr>
        <w:t xml:space="preserve">Reduces per‑experiment handling and re‑ordering frequency compared with smaller vial sizes.</w:t>
      </w:r>
    </w:p>
    <w:p>
      <w:pPr>
        <w:spacing w:line="360" w:after="210" w:lineRule="auto"/>
      </w:pPr>
      <w:r>
        <w:rPr>
          <w:rFonts w:eastAsia="georgia" w:cs="georgia" w:ascii="georgia" w:hAnsi="georgia"/>
          <w:color w:val="000000"/>
        </w:rPr>
        <w:t xml:space="preserve">Researchers can prepare concentrated stock solutions and dilute to working concentrations as required by cell, tissue, or biochemical assays.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handling_reconstitution_and_storage"/>
      <w:r>
        <w:rPr>
          <w:rFonts w:eastAsia="georgia" w:cs="georgia" w:ascii="georgia" w:hAnsi="georgia"/>
          <w:b/>
          <w:color w:val="000000"/>
          <w:sz w:val="24"/>
        </w:rPr>
        <w:t xml:space="preserve">Handling, reconstitution, and storage</w:t>
      </w:r>
      <w:bookmarkEnd w:id="9"/>
    </w:p>
    <w:p>
      <w:pPr>
        <w:spacing w:line="360" w:before="315" w:after="105" w:lineRule="auto"/>
        <w:ind w:left="-30"/>
        <w:jc w:val="left"/>
      </w:pPr>
      <w:bookmarkStart w:id="10" w:name="lyophilized_nad_storage"/>
      <w:r>
        <w:rPr>
          <w:rFonts w:eastAsia="georgia" w:cs="georgia" w:ascii="georgia" w:hAnsi="georgia"/>
          <w:b/>
          <w:color w:val="000000"/>
          <w:sz w:val="24"/>
        </w:rPr>
        <w:t xml:space="preserve">Lyophilized NAD⁺ storage</w:t>
      </w:r>
      <w:bookmarkEnd w:id="10"/>
    </w:p>
    <w:p>
      <w:pPr>
        <w:numPr>
          <w:ilvl w:val="0"/>
          <w:numId w:val="4"/>
        </w:numPr>
        <w:spacing w:line="360" w:before="105" w:after="105" w:lineRule="auto"/>
      </w:pPr>
      <w:r>
        <w:rPr>
          <w:rFonts w:eastAsia="georgia" w:cs="georgia" w:ascii="georgia" w:hAnsi="georgia"/>
          <w:color w:val="000000"/>
          <w:sz w:val="21"/>
        </w:rPr>
        <w:t xml:space="preserve">Store unopened vials at −20 °C or below in a dry, dark environment; avoid repeated temperature cycling.[web:182][web:183][web:191][web:194]</w:t>
      </w:r>
    </w:p>
    <w:p>
      <w:pPr>
        <w:numPr>
          <w:ilvl w:val="0"/>
          <w:numId w:val="4"/>
        </w:numPr>
        <w:spacing w:line="360" w:before="105" w:after="105" w:lineRule="auto"/>
      </w:pPr>
      <w:r>
        <w:rPr>
          <w:rFonts w:eastAsia="georgia" w:cs="georgia" w:ascii="georgia" w:hAnsi="georgia"/>
          <w:color w:val="000000"/>
          <w:sz w:val="21"/>
        </w:rPr>
        <w:t xml:space="preserve">Protect from moisture and light, as NAD⁺ is hygroscopic and light‑sensitive.</w:t>
      </w:r>
    </w:p>
    <w:p>
      <w:pPr>
        <w:spacing w:line="360" w:before="315" w:after="105" w:lineRule="auto"/>
        <w:ind w:left="-30"/>
        <w:jc w:val="left"/>
      </w:pPr>
      <w:bookmarkStart w:id="11" w:name="reconstitution"/>
      <w:r>
        <w:rPr>
          <w:rFonts w:eastAsia="georgia" w:cs="georgia" w:ascii="georgia" w:hAnsi="georgia"/>
          <w:b/>
          <w:color w:val="000000"/>
          <w:sz w:val="24"/>
        </w:rPr>
        <w:t xml:space="preserve">Reconstitution</w:t>
      </w:r>
      <w:bookmarkEnd w:id="11"/>
    </w:p>
    <w:p>
      <w:pPr>
        <w:numPr>
          <w:ilvl w:val="0"/>
          <w:numId w:val="5"/>
        </w:numPr>
        <w:spacing w:line="360" w:before="105" w:after="105" w:lineRule="auto"/>
      </w:pPr>
      <w:r>
        <w:rPr>
          <w:rFonts w:eastAsia="georgia" w:cs="georgia" w:ascii="georgia" w:hAnsi="georgia"/>
          <w:color w:val="000000"/>
          <w:sz w:val="21"/>
        </w:rPr>
        <w:t xml:space="preserve">Reconstitute under aseptic conditions using sterile water, phosphate‑buffered saline (PBS), or another suitable aqueous buffer.</w:t>
      </w:r>
    </w:p>
    <w:p>
      <w:pPr>
        <w:numPr>
          <w:ilvl w:val="0"/>
          <w:numId w:val="5"/>
        </w:numPr>
        <w:spacing w:line="360" w:before="105" w:after="105" w:lineRule="auto"/>
      </w:pPr>
      <w:r>
        <w:rPr>
          <w:rFonts w:eastAsia="georgia" w:cs="georgia" w:ascii="georgia" w:hAnsi="georgia"/>
          <w:color w:val="000000"/>
          <w:sz w:val="21"/>
        </w:rPr>
        <w:t xml:space="preserve">Allow vials to reach room temperature briefly; add solvent slowly along the inner wall.</w:t>
      </w:r>
    </w:p>
    <w:p>
      <w:pPr>
        <w:numPr>
          <w:ilvl w:val="0"/>
          <w:numId w:val="5"/>
        </w:numPr>
        <w:spacing w:line="360" w:before="105" w:after="105" w:lineRule="auto"/>
      </w:pPr>
      <w:r>
        <w:rPr>
          <w:rFonts w:eastAsia="georgia" w:cs="georgia" w:ascii="georgia" w:hAnsi="georgia"/>
          <w:color w:val="000000"/>
          <w:sz w:val="21"/>
        </w:rPr>
        <w:t xml:space="preserve">Gently swirl until fully dissolved; avoid vigorous shaking or extended foaming.</w:t>
      </w:r>
    </w:p>
    <w:p>
      <w:pPr>
        <w:numPr>
          <w:ilvl w:val="0"/>
          <w:numId w:val="5"/>
        </w:numPr>
        <w:spacing w:line="360" w:before="105" w:after="105" w:lineRule="auto"/>
      </w:pPr>
      <w:r>
        <w:rPr>
          <w:rFonts w:eastAsia="georgia" w:cs="georgia" w:ascii="georgia" w:hAnsi="georgia"/>
          <w:color w:val="000000"/>
          <w:sz w:val="21"/>
        </w:rPr>
        <w:t xml:space="preserve">Adjust and record concentration and pH according to experimental needs (typical working pH near neutral).</w:t>
      </w:r>
    </w:p>
    <w:p>
      <w:pPr>
        <w:spacing w:line="360" w:before="315" w:after="105" w:lineRule="auto"/>
        <w:ind w:left="-30"/>
        <w:jc w:val="left"/>
      </w:pPr>
      <w:bookmarkStart w:id="12" w:name="reconstituted_solutions"/>
      <w:r>
        <w:rPr>
          <w:rFonts w:eastAsia="georgia" w:cs="georgia" w:ascii="georgia" w:hAnsi="georgia"/>
          <w:b/>
          <w:color w:val="000000"/>
          <w:sz w:val="24"/>
        </w:rPr>
        <w:t xml:space="preserve">Reconstituted solutions</w:t>
      </w:r>
      <w:bookmarkEnd w:id="12"/>
    </w:p>
    <w:p>
      <w:pPr>
        <w:numPr>
          <w:ilvl w:val="0"/>
          <w:numId w:val="6"/>
        </w:numPr>
        <w:spacing w:line="360" w:before="105" w:after="105" w:lineRule="auto"/>
      </w:pPr>
      <w:r>
        <w:rPr>
          <w:rFonts w:eastAsia="georgia" w:cs="georgia" w:ascii="georgia" w:hAnsi="georgia"/>
          <w:color w:val="000000"/>
          <w:sz w:val="21"/>
        </w:rPr>
        <w:t xml:space="preserve">For short‑term use, store at 2–8 °C, protected from light, and use within a limited window defined by internal stability data.</w:t>
      </w:r>
    </w:p>
    <w:p>
      <w:pPr>
        <w:numPr>
          <w:ilvl w:val="0"/>
          <w:numId w:val="6"/>
        </w:numPr>
        <w:spacing w:line="360" w:before="105" w:after="105" w:lineRule="auto"/>
      </w:pPr>
      <w:r>
        <w:rPr>
          <w:rFonts w:eastAsia="georgia" w:cs="georgia" w:ascii="georgia" w:hAnsi="georgia"/>
          <w:color w:val="000000"/>
          <w:sz w:val="21"/>
        </w:rPr>
        <w:t xml:space="preserve">For longer‑term work, aliquot into light‑protected tubes and freeze at −20 °C or below, minimizing freeze–thaw cycles.[web:182][web:191][web:194]</w:t>
      </w:r>
    </w:p>
    <w:p>
      <w:pPr>
        <w:numPr>
          <w:ilvl w:val="0"/>
          <w:numId w:val="6"/>
        </w:numPr>
        <w:spacing w:line="360" w:before="105" w:after="105" w:lineRule="auto"/>
      </w:pPr>
      <w:r>
        <w:rPr>
          <w:rFonts w:eastAsia="georgia" w:cs="georgia" w:ascii="georgia" w:hAnsi="georgia"/>
          <w:color w:val="000000"/>
          <w:sz w:val="21"/>
        </w:rPr>
        <w:t xml:space="preserve">Discard solutions that show turbidity, colour change, or precipitate formation.</w:t>
      </w:r>
    </w:p>
    <w:p>
      <w:pPr>
        <w:spacing w:line="360" w:after="210" w:lineRule="auto"/>
      </w:pPr>
      <w:r>
        <w:rPr>
          <w:rFonts w:eastAsia="georgia" w:cs="georgia" w:ascii="georgia" w:hAnsi="georgia"/>
          <w:color w:val="000000"/>
        </w:rPr>
        <w:t xml:space="preserve">Each laboratory should verify stability for its own conditions and follow institutional quality and biosafety procedures when handling NAD⁺.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analytical_quality_and_documentation"/>
      <w:r>
        <w:rPr>
          <w:rFonts w:eastAsia="georgia" w:cs="georgia" w:ascii="georgia" w:hAnsi="georgia"/>
          <w:b/>
          <w:color w:val="000000"/>
          <w:sz w:val="24"/>
        </w:rPr>
        <w:t xml:space="preserve">Analytical quality and documentation</w:t>
      </w:r>
      <w:bookmarkEnd w:id="13"/>
    </w:p>
    <w:p>
      <w:pPr>
        <w:spacing w:line="360" w:after="210" w:lineRule="auto"/>
      </w:pPr>
      <w:r>
        <w:rPr>
          <w:rFonts w:eastAsia="georgia" w:cs="georgia" w:ascii="georgia" w:hAnsi="georgia"/>
          <w:color w:val="000000"/>
        </w:rPr>
        <w:t xml:space="preserve">Research‑grade NAD⁺ is typically produced via controlled synthesis or fermentation and undergoes analytical characterisation before release:</w:t>
      </w:r>
    </w:p>
    <w:p>
      <w:pPr>
        <w:numPr>
          <w:ilvl w:val="0"/>
          <w:numId w:val="7"/>
        </w:numPr>
        <w:spacing w:line="360" w:before="105" w:after="105" w:lineRule="auto"/>
      </w:pPr>
      <w:r>
        <w:rPr>
          <w:rFonts w:eastAsia="georgia" w:cs="georgia" w:ascii="georgia" w:hAnsi="georgia"/>
          <w:b/>
          <w:color w:val="000000"/>
          <w:sz w:val="21"/>
        </w:rPr>
        <w:t xml:space="preserve">Purity</w:t>
      </w:r>
    </w:p>
    <w:p>
      <w:pPr>
        <w:numPr>
          <w:ilvl w:val="1"/>
          <w:numId w:val="7"/>
        </w:numPr>
        <w:spacing w:line="360" w:before="105" w:after="105" w:lineRule="auto"/>
      </w:pPr>
      <w:r>
        <w:rPr>
          <w:rFonts w:eastAsia="georgia" w:cs="georgia" w:ascii="georgia" w:hAnsi="georgia"/>
          <w:color w:val="000000"/>
          <w:sz w:val="21"/>
        </w:rPr>
        <w:t xml:space="preserve">High‑performance liquid chromatography (HPLC) confirming high purity (often ≥98–99%) and separation from NADH, NMN, ADP, and other related species.[web:182][web:185][web:194]</w:t>
      </w:r>
    </w:p>
    <w:p>
      <w:pPr>
        <w:numPr>
          <w:ilvl w:val="0"/>
          <w:numId w:val="7"/>
        </w:numPr>
        <w:spacing w:line="360" w:before="105" w:after="105" w:lineRule="auto"/>
      </w:pPr>
      <w:r>
        <w:rPr>
          <w:rFonts w:eastAsia="georgia" w:cs="georgia" w:ascii="georgia" w:hAnsi="georgia"/>
          <w:b/>
          <w:color w:val="000000"/>
          <w:sz w:val="21"/>
        </w:rPr>
        <w:t xml:space="preserve">Identity</w:t>
      </w:r>
    </w:p>
    <w:p>
      <w:pPr>
        <w:numPr>
          <w:ilvl w:val="1"/>
          <w:numId w:val="7"/>
        </w:numPr>
        <w:spacing w:line="360" w:before="105" w:after="105" w:lineRule="auto"/>
      </w:pPr>
      <w:r>
        <w:rPr>
          <w:rFonts w:eastAsia="georgia" w:cs="georgia" w:ascii="georgia" w:hAnsi="georgia"/>
          <w:color w:val="000000"/>
          <w:sz w:val="21"/>
        </w:rPr>
        <w:t xml:space="preserve">Mass spectrometry verifying expected molecular weight and fragmentation pattern consistent with β‑nicotinamide adenine dinucleotide.[web:180][web:183][web:189]</w:t>
      </w:r>
    </w:p>
    <w:p>
      <w:pPr>
        <w:numPr>
          <w:ilvl w:val="0"/>
          <w:numId w:val="7"/>
        </w:numPr>
        <w:spacing w:line="360" w:before="105" w:after="105" w:lineRule="auto"/>
      </w:pPr>
      <w:r>
        <w:rPr>
          <w:rFonts w:eastAsia="georgia" w:cs="georgia" w:ascii="georgia" w:hAnsi="georgia"/>
          <w:b/>
          <w:color w:val="000000"/>
          <w:sz w:val="21"/>
        </w:rPr>
        <w:t xml:space="preserve">Additional testing</w:t>
      </w:r>
    </w:p>
    <w:p>
      <w:pPr>
        <w:numPr>
          <w:ilvl w:val="1"/>
          <w:numId w:val="7"/>
        </w:numPr>
        <w:spacing w:line="360" w:before="105" w:after="105" w:lineRule="auto"/>
      </w:pPr>
      <w:r>
        <w:rPr>
          <w:rFonts w:eastAsia="georgia" w:cs="georgia" w:ascii="georgia" w:hAnsi="georgia"/>
          <w:color w:val="000000"/>
          <w:sz w:val="21"/>
        </w:rPr>
        <w:t xml:space="preserve">Water content, residual solvents, microbial limits, and endotoxin, appropriate for research‑grade coenzymes.[web:183][web:185]</w:t>
      </w:r>
    </w:p>
    <w:p>
      <w:pPr>
        <w:spacing w:line="360" w:after="210" w:lineRule="auto"/>
      </w:pPr>
      <w:r>
        <w:rPr>
          <w:rFonts w:eastAsia="georgia" w:cs="georgia" w:ascii="georgia" w:hAnsi="georgia"/>
          <w:color w:val="000000"/>
        </w:rPr>
        <w:t xml:space="preserve">Batch‑specific Certificates of Analysis (COAs) provide exact purity values, method descriptions, and acceptance criteria and should be reviewed prior to use.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research_use_only_and_safety_notice"/>
      <w:r>
        <w:rPr>
          <w:rFonts w:eastAsia="georgia" w:cs="georgia" w:ascii="georgia" w:hAnsi="georgia"/>
          <w:b/>
          <w:color w:val="000000"/>
          <w:sz w:val="24"/>
        </w:rPr>
        <w:t xml:space="preserve">Research‑use‑only and safety notice</w:t>
      </w:r>
      <w:bookmarkEnd w:id="14"/>
    </w:p>
    <w:p>
      <w:pPr>
        <w:spacing w:line="360" w:after="210" w:lineRule="auto"/>
        <w:ind w:left="630"/>
      </w:pPr>
      <w:r>
        <w:rPr>
          <w:rFonts w:eastAsia="georgia" w:cs="georgia" w:ascii="georgia" w:hAnsi="georgia"/>
          <w:b/>
          <w:color w:val="000000"/>
        </w:rPr>
        <w:t xml:space="preserve">FOR LABORATORY RESEARCH USE ONLY – NOT FOR HUMAN OR VETERINARY USE</w:t>
      </w:r>
      <w:r>
        <w:rPr>
          <w:rFonts w:eastAsia="georgia" w:cs="georgia" w:ascii="georgia" w:hAnsi="georgia"/>
          <w:color w:val="000000"/>
        </w:rPr>
        <w:br w:type="textWrapping"/>
      </w:r>
      <w:r>
        <w:rPr>
          <w:rFonts w:eastAsia="georgia" w:cs="georgia" w:ascii="georgia" w:hAnsi="georgia"/>
          <w:color w:val="000000"/>
        </w:rPr>
        <w:t xml:space="preserve">NAD⁺ 500 mg is supplied solely as a research coenzyme for in‑vitro assays and preclinical animal studies carried out under institutional oversight. It is not formulated or approved as a dietary ingredient, pharmaceutical, or cosmetic, and is distinct from any clinical or consumer NAD⁺ products.[web:182][web:188][web:194]</w:t>
      </w:r>
    </w:p>
    <w:p>
      <w:pPr>
        <w:spacing w:line="360" w:after="210" w:lineRule="auto"/>
        <w:ind w:left="630"/>
      </w:pPr>
      <w:r>
        <w:rPr>
          <w:rFonts w:eastAsia="georgia" w:cs="georgia" w:ascii="georgia" w:hAnsi="georgia"/>
          <w:color w:val="000000"/>
        </w:rPr>
        <w:t xml:space="preserve">This material must not be used for diagnosis, treatment, mitigation, cure, or prevention of any disease and must not be administered to humans or animals outside properly approved research protocols. All handling should comply with applicable biosafety, chemical‑safety, and waste‑disposal regulations.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2026-04-30T10:46:48.745Z</dcterms:created>
  <dcterms:modified xsi:type="dcterms:W3CDTF">2026-04-30T10:46:48.745Z</dcterms:modified>
</cp:coreProperties>
</file>