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t_141_5_mg_melanocortin_receptor_61db86"/>
      <w:r>
        <w:rPr>
          <w:rFonts w:eastAsia="georgia" w:cs="georgia" w:ascii="georgia" w:hAnsi="georgia"/>
          <w:b/>
          <w:color w:val="000000"/>
          <w:sz w:val="39"/>
        </w:rPr>
        <w:t xml:space="preserve">PT‑141 5 mg – Melanocortin Receptor Agonist Research Peptide</w:t>
      </w:r>
      <w:bookmarkEnd w:id="0"/>
    </w:p>
    <w:p>
      <w:pPr>
        <w:spacing w:line="360" w:before="315" w:after="105" w:lineRule="auto"/>
        <w:ind w:left="-30"/>
        <w:jc w:val="left"/>
      </w:pPr>
      <w:bookmarkStart w:id="1" w:name="product_overview"/>
      <w:r>
        <w:rPr>
          <w:rFonts w:eastAsia="georgia" w:cs="georgia" w:ascii="georgia" w:hAnsi="georgia"/>
          <w:b/>
          <w:color w:val="000000"/>
          <w:sz w:val="24"/>
        </w:rPr>
        <w:t xml:space="preserve">Product overview</w:t>
      </w:r>
      <w:bookmarkEnd w:id="1"/>
    </w:p>
    <w:p>
      <w:pPr>
        <w:spacing w:line="360" w:after="210" w:lineRule="auto"/>
      </w:pPr>
      <w:r>
        <w:rPr>
          <w:rFonts w:eastAsia="georgia" w:cs="georgia" w:ascii="georgia" w:hAnsi="georgia"/>
          <w:color w:val="000000"/>
        </w:rPr>
        <w:t xml:space="preserve">PT‑141 (bremelanotide) is a synthetic cyclic heptapeptide derived from the melanocortin analogue α‑MSH and structurally related to melanotan II.[web:161][web:164][web:170] It acts as a melanocortin receptor agonist with primary activity at MC3R and MC4R in the central nervous system, making it a useful tool for studying melanocortin‑mediated signalling, neuroendocrine regulation, and sexual‑function pathways in preclinical models.[web:161][web:163][web:167]</w:t>
      </w:r>
    </w:p>
    <w:p>
      <w:pPr>
        <w:spacing w:line="360" w:after="210" w:lineRule="auto"/>
      </w:pPr>
      <w:r>
        <w:rPr>
          <w:rFonts w:eastAsia="georgia" w:cs="georgia" w:ascii="georgia" w:hAnsi="georgia"/>
          <w:color w:val="000000"/>
        </w:rPr>
        <w:t xml:space="preserve">The PT‑141 5 mg presentation provides a defined amount of lyophilized peptide suitable for in‑vitro assays and in‑vivo animal studies where moderate quantities and fine dose‑response work are required. This material is intended strictly for laboratory research and is not approved for human or veterinary use.[web:163][web:166][web:170]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quick_product_snapshot"/>
      <w:r>
        <w:rPr>
          <w:rFonts w:eastAsia="georgia" w:cs="georgia" w:ascii="georgia" w:hAnsi="georgia"/>
          <w:b/>
          <w:color w:val="000000"/>
          <w:sz w:val="24"/>
        </w:rPr>
        <w:t xml:space="preserve">Quick product snapshot</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PT‑141 5 mg (Bremelanotide)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Peptide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Cyclic heptapeptide melanocortin receptor agonist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Content per vial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 mg lyophilized peptide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Sequence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Ac‑Nle‑cyclo[Asp‑His‑D‑Phe‑Arg‑Trp‑Lys]‑OH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Molecular formula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C₅₀H₆₈N₁₄O₁₀</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Molecular weight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~1025.2 g/mol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 number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189691‑06‑3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PubChem CID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9941379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receptors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MC3R and MC4R (melanocortin receptors 3 and 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Appearance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White to off‑white lyophilized powder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Storage (dry)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 °C or below, protected from light and moisture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Intended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In‑vitro and preclinical research only</w:t>
            </w:r>
          </w:p>
        </w:tc>
      </w:tr>
    </w:tbl>
    <w:p>
      <w:pPr>
        <w:spacing w:lineRule="auto"/>
      </w:pPr>
    </w:p>
    <w:p>
      <w:pPr>
        <w:spacing w:line="360" w:after="210" w:lineRule="auto"/>
      </w:pPr>
      <w:r>
        <w:rPr>
          <w:rFonts w:eastAsia="georgia" w:cs="georgia" w:ascii="georgia" w:hAnsi="georgia"/>
          <w:color w:val="000000"/>
        </w:rPr>
        <w:t xml:space="preserve">These identifiers and properties are consistent with widely cited references for PT‑141 (bremelanotide).[web:161][web:164][web:167][web:170]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identity_and_structure"/>
      <w:r>
        <w:rPr>
          <w:rFonts w:eastAsia="georgia" w:cs="georgia" w:ascii="georgia" w:hAnsi="georgia"/>
          <w:b/>
          <w:color w:val="000000"/>
          <w:sz w:val="24"/>
        </w:rPr>
        <w:t xml:space="preserve">Identity and structure</w:t>
      </w:r>
      <w:bookmarkEnd w:id="3"/>
    </w:p>
    <w:p>
      <w:pPr>
        <w:spacing w:line="360" w:after="210" w:lineRule="auto"/>
      </w:pPr>
      <w:r>
        <w:rPr>
          <w:rFonts w:eastAsia="georgia" w:cs="georgia" w:ascii="georgia" w:hAnsi="georgia"/>
          <w:color w:val="000000"/>
        </w:rPr>
        <w:t xml:space="preserve">PT‑141 is a cyclic heptapeptide analogue of α‑melanocyte‑stimulating hormone (α‑MSH), with the sequence Ac‑Nle‑cyclo[Asp‑His‑D‑Phe‑Arg‑Trp‑Lys]‑OH.[web:161][web:164][web:170] The lactam bridge between the aspartic acid and lysine side chains constrains the peptide into a stable conformation that presents the His‑D‑Phe‑Arg‑Trp pharmacophore to melanocortin receptors.[web:167][web:170]</w:t>
      </w:r>
    </w:p>
    <w:p>
      <w:pPr>
        <w:spacing w:line="360" w:after="210" w:lineRule="auto"/>
      </w:pPr>
      <w:r>
        <w:rPr>
          <w:rFonts w:eastAsia="georgia" w:cs="georgia" w:ascii="georgia" w:hAnsi="georgia"/>
          <w:color w:val="000000"/>
        </w:rPr>
        <w:t xml:space="preserve">Key identity points:</w:t>
      </w:r>
    </w:p>
    <w:p>
      <w:pPr>
        <w:numPr>
          <w:ilvl w:val="0"/>
          <w:numId w:val="1"/>
        </w:numPr>
        <w:spacing w:line="360" w:before="105" w:after="105" w:lineRule="auto"/>
      </w:pPr>
      <w:r>
        <w:rPr>
          <w:rFonts w:eastAsia="georgia" w:cs="georgia" w:ascii="georgia" w:hAnsi="georgia"/>
          <w:color w:val="000000"/>
          <w:sz w:val="21"/>
        </w:rPr>
        <w:t xml:space="preserve">Peptide class: Synthetic cyclic heptapeptide melanocortin receptor agonist.</w:t>
      </w:r>
    </w:p>
    <w:p>
      <w:pPr>
        <w:numPr>
          <w:ilvl w:val="0"/>
          <w:numId w:val="1"/>
        </w:numPr>
        <w:spacing w:line="360" w:before="105" w:after="105" w:lineRule="auto"/>
      </w:pPr>
      <w:r>
        <w:rPr>
          <w:rFonts w:eastAsia="georgia" w:cs="georgia" w:ascii="georgia" w:hAnsi="georgia"/>
          <w:color w:val="000000"/>
          <w:sz w:val="21"/>
        </w:rPr>
        <w:t xml:space="preserve">Molecular formula: C₅₀H₆₈N₁₄O₁₀; molecular weight ~1025.2 g/mol.[web:161][web:164][web:170]</w:t>
      </w:r>
    </w:p>
    <w:p>
      <w:pPr>
        <w:numPr>
          <w:ilvl w:val="0"/>
          <w:numId w:val="1"/>
        </w:numPr>
        <w:spacing w:line="360" w:before="105" w:after="105" w:lineRule="auto"/>
      </w:pPr>
      <w:r>
        <w:rPr>
          <w:rFonts w:eastAsia="georgia" w:cs="georgia" w:ascii="georgia" w:hAnsi="georgia"/>
          <w:color w:val="000000"/>
          <w:sz w:val="21"/>
        </w:rPr>
        <w:t xml:space="preserve">Primary receptor targets: MC3R and MC4R; reduced melanocortin‑1 receptor (MC1R) activity compared with MT‑II.[web:161][web:163][web:169]</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cientific_background_non_clinical"/>
      <w:r>
        <w:rPr>
          <w:rFonts w:eastAsia="georgia" w:cs="georgia" w:ascii="georgia" w:hAnsi="georgia"/>
          <w:b/>
          <w:color w:val="000000"/>
          <w:sz w:val="24"/>
        </w:rPr>
        <w:t xml:space="preserve">Scientific background (non‑clinical)</w:t>
      </w:r>
      <w:bookmarkEnd w:id="4"/>
    </w:p>
    <w:p>
      <w:pPr>
        <w:spacing w:line="360" w:before="315" w:after="105" w:lineRule="auto"/>
        <w:ind w:left="-30"/>
        <w:jc w:val="left"/>
      </w:pPr>
      <w:bookmarkStart w:id="5" w:name="melanocortin_system_context"/>
      <w:r>
        <w:rPr>
          <w:rFonts w:eastAsia="georgia" w:cs="georgia" w:ascii="georgia" w:hAnsi="georgia"/>
          <w:b/>
          <w:color w:val="000000"/>
          <w:sz w:val="24"/>
        </w:rPr>
        <w:t xml:space="preserve">Melanocortin system context</w:t>
      </w:r>
      <w:bookmarkEnd w:id="5"/>
    </w:p>
    <w:p>
      <w:pPr>
        <w:spacing w:line="360" w:after="210" w:lineRule="auto"/>
      </w:pPr>
      <w:r>
        <w:rPr>
          <w:rFonts w:eastAsia="georgia" w:cs="georgia" w:ascii="georgia" w:hAnsi="georgia"/>
          <w:color w:val="000000"/>
        </w:rPr>
        <w:t xml:space="preserve">PT‑141 is used as a probe for central melanocortin pathways, particularly MC3R and MC4R receptors in hypothalamic and limbic regions.[web:161][web:163][web:167][web:170] These receptors are implicated in sexual function, energy balance, and other neuroendocrine processes, making PT‑141 a valuable tool for dissecting receptor‑specific signalling in basic and translational models.[web:161][web:164][web:169]</w:t>
      </w:r>
    </w:p>
    <w:p>
      <w:pPr>
        <w:spacing w:line="360" w:after="210" w:lineRule="auto"/>
      </w:pPr>
      <w:r>
        <w:rPr>
          <w:rFonts w:eastAsia="georgia" w:cs="georgia" w:ascii="georgia" w:hAnsi="georgia"/>
          <w:color w:val="000000"/>
        </w:rPr>
        <w:t xml:space="preserve">Unlike phosphodiesterase type‑5 (PDE5) inhibitors that act peripherally on vascular smooth muscle, PT‑141 acts centrally via melanocortin receptors, allowing researchers to distinguish central arousal and motivational pathways from purely hemodynamic mechanisms.[web:163][web:166][web:170]</w:t>
      </w:r>
    </w:p>
    <w:p>
      <w:pPr>
        <w:spacing w:line="360" w:before="315" w:after="105" w:lineRule="auto"/>
        <w:ind w:left="-30"/>
        <w:jc w:val="left"/>
      </w:pPr>
      <w:bookmarkStart w:id="6" w:name="regulatory_and_clinical_context"/>
      <w:r>
        <w:rPr>
          <w:rFonts w:eastAsia="georgia" w:cs="georgia" w:ascii="georgia" w:hAnsi="georgia"/>
          <w:b/>
          <w:color w:val="000000"/>
          <w:sz w:val="24"/>
        </w:rPr>
        <w:t xml:space="preserve">Regulatory and clinical context</w:t>
      </w:r>
      <w:bookmarkEnd w:id="6"/>
    </w:p>
    <w:p>
      <w:pPr>
        <w:spacing w:line="360" w:after="210" w:lineRule="auto"/>
      </w:pPr>
      <w:r>
        <w:rPr>
          <w:rFonts w:eastAsia="georgia" w:cs="georgia" w:ascii="georgia" w:hAnsi="georgia"/>
          <w:color w:val="000000"/>
        </w:rPr>
        <w:t xml:space="preserve">Bremelanotide has been developed clinically as an as‑needed, subcutaneous treatment (Vyleesi) for acquired, generalized hypoactive sexual desire disorder (HSDD) in premenopausal women, receiving FDA approval in 2019.[web:162][web:165][web:168][web:170] Research‑grade PT‑141 used in laboratory settings is distinct from approved drug products and is supplied strictly under research‑use‑only conditions.[web:163][web:166][web:171]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key_research_themes"/>
      <w:r>
        <w:rPr>
          <w:rFonts w:eastAsia="georgia" w:cs="georgia" w:ascii="georgia" w:hAnsi="georgia"/>
          <w:b/>
          <w:color w:val="000000"/>
          <w:sz w:val="24"/>
        </w:rPr>
        <w:t xml:space="preserve">Key research themes</w:t>
      </w:r>
      <w:bookmarkEnd w:id="7"/>
    </w:p>
    <w:p>
      <w:pPr>
        <w:spacing w:line="360" w:before="315" w:after="105" w:lineRule="auto"/>
        <w:ind w:left="-30"/>
        <w:jc w:val="left"/>
      </w:pPr>
      <w:bookmarkStart w:id="8" w:name="bm_1_sexual_function_and_neuroend_c7c572"/>
      <w:r>
        <w:rPr>
          <w:rFonts w:eastAsia="georgia" w:cs="georgia" w:ascii="georgia" w:hAnsi="georgia"/>
          <w:b/>
          <w:color w:val="000000"/>
          <w:sz w:val="24"/>
        </w:rPr>
        <w:t xml:space="preserve">1. Sexual‑function and neuroendocrine models</w:t>
      </w:r>
      <w:bookmarkEnd w:id="8"/>
    </w:p>
    <w:p>
      <w:pPr>
        <w:spacing w:line="360" w:after="210" w:lineRule="auto"/>
      </w:pPr>
      <w:r>
        <w:rPr>
          <w:rFonts w:eastAsia="georgia" w:cs="georgia" w:ascii="georgia" w:hAnsi="georgia"/>
          <w:color w:val="000000"/>
        </w:rPr>
        <w:t xml:space="preserve">PT‑141 is widely used to study melanocortin‑mediated sexual function:</w:t>
      </w:r>
    </w:p>
    <w:p>
      <w:pPr>
        <w:numPr>
          <w:ilvl w:val="0"/>
          <w:numId w:val="2"/>
        </w:numPr>
        <w:spacing w:line="360" w:before="105" w:after="105" w:lineRule="auto"/>
      </w:pPr>
      <w:r>
        <w:rPr>
          <w:rFonts w:eastAsia="georgia" w:cs="georgia" w:ascii="georgia" w:hAnsi="georgia"/>
          <w:color w:val="000000"/>
          <w:sz w:val="21"/>
        </w:rPr>
        <w:t xml:space="preserve">Central arousal and desire pathways in animal and cell models, focusing on hypothalamic MC4R circuits and downstream dopaminergic and oxytocin signalling.[web:161][web:163][web:167][web:170]</w:t>
      </w:r>
    </w:p>
    <w:p>
      <w:pPr>
        <w:numPr>
          <w:ilvl w:val="0"/>
          <w:numId w:val="2"/>
        </w:numPr>
        <w:spacing w:line="360" w:before="105" w:after="105" w:lineRule="auto"/>
      </w:pPr>
      <w:r>
        <w:rPr>
          <w:rFonts w:eastAsia="georgia" w:cs="georgia" w:ascii="georgia" w:hAnsi="georgia"/>
          <w:color w:val="000000"/>
          <w:sz w:val="21"/>
        </w:rPr>
        <w:t xml:space="preserve">Erectile and genital arousal mechanisms that originate in the CNS rather than purely vascular responses.[web:166][web:169][web:175]</w:t>
      </w:r>
    </w:p>
    <w:p>
      <w:pPr>
        <w:numPr>
          <w:ilvl w:val="0"/>
          <w:numId w:val="2"/>
        </w:numPr>
        <w:spacing w:line="360" w:before="105" w:after="105" w:lineRule="auto"/>
      </w:pPr>
      <w:r>
        <w:rPr>
          <w:rFonts w:eastAsia="georgia" w:cs="georgia" w:ascii="georgia" w:hAnsi="georgia"/>
          <w:color w:val="000000"/>
          <w:sz w:val="21"/>
        </w:rPr>
        <w:t xml:space="preserve">Sex‑specific differences in melanocortin pathway activation and behavioural readouts.</w:t>
      </w:r>
    </w:p>
    <w:p>
      <w:pPr>
        <w:spacing w:line="360" w:after="210" w:lineRule="auto"/>
      </w:pPr>
      <w:r>
        <w:rPr>
          <w:rFonts w:eastAsia="georgia" w:cs="georgia" w:ascii="georgia" w:hAnsi="georgia"/>
          <w:color w:val="000000"/>
        </w:rPr>
        <w:t xml:space="preserve">Preclinical work and clinical trials have highlighted bremelanotide’s ability to modulate sexual desire and function via central mechanisms, but laboratory‑grade PT‑141 remains an investigational research tool rather than a therapeutic product.[web:162][web:165][web:170]</w:t>
      </w:r>
    </w:p>
    <w:p>
      <w:pPr>
        <w:spacing w:line="360" w:before="315" w:after="105" w:lineRule="auto"/>
        <w:ind w:left="-30"/>
        <w:jc w:val="left"/>
      </w:pPr>
      <w:bookmarkStart w:id="9" w:name="bm_2_melanocortin_receptor_pharmacology"/>
      <w:r>
        <w:rPr>
          <w:rFonts w:eastAsia="georgia" w:cs="georgia" w:ascii="georgia" w:hAnsi="georgia"/>
          <w:b/>
          <w:color w:val="000000"/>
          <w:sz w:val="24"/>
        </w:rPr>
        <w:t xml:space="preserve">2. Melanocortin receptor pharmacology</w:t>
      </w:r>
      <w:bookmarkEnd w:id="9"/>
    </w:p>
    <w:p>
      <w:pPr>
        <w:spacing w:line="360" w:after="210" w:lineRule="auto"/>
      </w:pPr>
      <w:r>
        <w:rPr>
          <w:rFonts w:eastAsia="georgia" w:cs="georgia" w:ascii="georgia" w:hAnsi="georgia"/>
          <w:color w:val="000000"/>
        </w:rPr>
        <w:t xml:space="preserve">Because PT‑141 has a more focused MC3R/MC4R profile and reduced MC1R activity compared with earlier analogues, it is useful for receptor‑selectivity studies:</w:t>
      </w:r>
    </w:p>
    <w:p>
      <w:pPr>
        <w:numPr>
          <w:ilvl w:val="0"/>
          <w:numId w:val="3"/>
        </w:numPr>
        <w:spacing w:line="360" w:before="105" w:after="105" w:lineRule="auto"/>
      </w:pPr>
      <w:r>
        <w:rPr>
          <w:rFonts w:eastAsia="georgia" w:cs="georgia" w:ascii="georgia" w:hAnsi="georgia"/>
          <w:color w:val="000000"/>
          <w:sz w:val="21"/>
        </w:rPr>
        <w:t xml:space="preserve">Binding and functional assays to characterise MC3R vs MC4R contributions to observed effects.[web:161][web:164][web:169][web:173]</w:t>
      </w:r>
    </w:p>
    <w:p>
      <w:pPr>
        <w:numPr>
          <w:ilvl w:val="0"/>
          <w:numId w:val="3"/>
        </w:numPr>
        <w:spacing w:line="360" w:before="105" w:after="105" w:lineRule="auto"/>
      </w:pPr>
      <w:r>
        <w:rPr>
          <w:rFonts w:eastAsia="georgia" w:cs="georgia" w:ascii="georgia" w:hAnsi="georgia"/>
          <w:color w:val="000000"/>
          <w:sz w:val="21"/>
        </w:rPr>
        <w:t xml:space="preserve">Comparative work with other melanocortin agonists (e.g., α‑MSH, MT‑II) to separate pigmentation, energy‑balance, and sexual‑function pathways.[web:164][web:169][web:173]</w:t>
      </w:r>
    </w:p>
    <w:p>
      <w:pPr>
        <w:numPr>
          <w:ilvl w:val="0"/>
          <w:numId w:val="3"/>
        </w:numPr>
        <w:spacing w:line="360" w:before="105" w:after="105" w:lineRule="auto"/>
      </w:pPr>
      <w:r>
        <w:rPr>
          <w:rFonts w:eastAsia="georgia" w:cs="georgia" w:ascii="georgia" w:hAnsi="georgia"/>
          <w:color w:val="000000"/>
          <w:sz w:val="21"/>
        </w:rPr>
        <w:t xml:space="preserve">Signal‑transduction studies examining cAMP production and downstream kinase activation in melanocortin‑expressing cell lines.[web:161][web:167]</w:t>
      </w:r>
    </w:p>
    <w:p>
      <w:pPr>
        <w:spacing w:line="360" w:before="315" w:after="105" w:lineRule="auto"/>
        <w:ind w:left="-30"/>
        <w:jc w:val="left"/>
      </w:pPr>
      <w:bookmarkStart w:id="10" w:name="bm_3_central_melanocortin_circuit_d03de5"/>
      <w:r>
        <w:rPr>
          <w:rFonts w:eastAsia="georgia" w:cs="georgia" w:ascii="georgia" w:hAnsi="georgia"/>
          <w:b/>
          <w:color w:val="000000"/>
          <w:sz w:val="24"/>
        </w:rPr>
        <w:t xml:space="preserve">3. Central melanocortin circuits and behaviour</w:t>
      </w:r>
      <w:bookmarkEnd w:id="10"/>
    </w:p>
    <w:p>
      <w:pPr>
        <w:spacing w:line="360" w:after="210" w:lineRule="auto"/>
      </w:pPr>
      <w:r>
        <w:rPr>
          <w:rFonts w:eastAsia="georgia" w:cs="georgia" w:ascii="georgia" w:hAnsi="georgia"/>
          <w:color w:val="000000"/>
        </w:rPr>
        <w:t xml:space="preserve">PT‑141 is also used more broadly in CNS and behavioural research:</w:t>
      </w:r>
    </w:p>
    <w:p>
      <w:pPr>
        <w:numPr>
          <w:ilvl w:val="0"/>
          <w:numId w:val="4"/>
        </w:numPr>
        <w:spacing w:line="360" w:before="105" w:after="105" w:lineRule="auto"/>
      </w:pPr>
      <w:r>
        <w:rPr>
          <w:rFonts w:eastAsia="georgia" w:cs="georgia" w:ascii="georgia" w:hAnsi="georgia"/>
          <w:color w:val="000000"/>
          <w:sz w:val="21"/>
        </w:rPr>
        <w:t xml:space="preserve">Mapping MC3R/MC4R‑expressing circuits in brain areas involved in motivation, reward, and energy homeostasis.[web:161][web:167][web:170]</w:t>
      </w:r>
    </w:p>
    <w:p>
      <w:pPr>
        <w:numPr>
          <w:ilvl w:val="0"/>
          <w:numId w:val="4"/>
        </w:numPr>
        <w:spacing w:line="360" w:before="105" w:after="105" w:lineRule="auto"/>
      </w:pPr>
      <w:r>
        <w:rPr>
          <w:rFonts w:eastAsia="georgia" w:cs="georgia" w:ascii="georgia" w:hAnsi="georgia"/>
          <w:color w:val="000000"/>
          <w:sz w:val="21"/>
        </w:rPr>
        <w:t xml:space="preserve">Exploring interactions between melanocortin signalling and dopamine, serotonin, and other neurotransmitter systems.[web:167][web:169]</w:t>
      </w:r>
    </w:p>
    <w:p>
      <w:pPr>
        <w:numPr>
          <w:ilvl w:val="0"/>
          <w:numId w:val="4"/>
        </w:numPr>
        <w:spacing w:line="360" w:before="105" w:after="105" w:lineRule="auto"/>
      </w:pPr>
      <w:r>
        <w:rPr>
          <w:rFonts w:eastAsia="georgia" w:cs="georgia" w:ascii="georgia" w:hAnsi="georgia"/>
          <w:color w:val="000000"/>
          <w:sz w:val="21"/>
        </w:rPr>
        <w:t xml:space="preserve">Investigating how melanocortin pathways contribute to stress responses, mood, and complex behaviours in animal models.[web:167]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5_mg_vs_10_mg_vials_in_researc_676fcf"/>
      <w:r>
        <w:rPr>
          <w:rFonts w:eastAsia="georgia" w:cs="georgia" w:ascii="georgia" w:hAnsi="georgia"/>
          <w:b/>
          <w:color w:val="000000"/>
          <w:sz w:val="24"/>
        </w:rPr>
        <w:t xml:space="preserve">5 mg vs 10 mg vials in research workflows</w:t>
      </w:r>
      <w:bookmarkEnd w:id="11"/>
    </w:p>
    <w:p>
      <w:pPr>
        <w:spacing w:line="360" w:after="210" w:lineRule="auto"/>
      </w:pPr>
      <w:r>
        <w:rPr>
          <w:rFonts w:eastAsia="georgia" w:cs="georgia" w:ascii="georgia" w:hAnsi="georgia"/>
          <w:color w:val="000000"/>
        </w:rPr>
        <w:t xml:space="preserve">PT‑141 is commonly supplied in both 5 mg and 10 mg vials to suit different experimental designs:[web:163][web:166]</w:t>
      </w:r>
    </w:p>
    <w:p>
      <w:pPr>
        <w:numPr>
          <w:ilvl w:val="0"/>
          <w:numId w:val="5"/>
        </w:numPr>
        <w:spacing w:line="360" w:before="105" w:after="105" w:lineRule="auto"/>
      </w:pPr>
      <w:r>
        <w:rPr>
          <w:rFonts w:eastAsia="georgia" w:cs="georgia" w:ascii="georgia" w:hAnsi="georgia"/>
          <w:b/>
          <w:color w:val="000000"/>
          <w:sz w:val="21"/>
        </w:rPr>
        <w:t xml:space="preserve">5 mg vials</w:t>
      </w:r>
      <w:r>
        <w:rPr>
          <w:rFonts w:eastAsia="georgia" w:cs="georgia" w:ascii="georgia" w:hAnsi="georgia"/>
          <w:color w:val="000000"/>
          <w:sz w:val="21"/>
        </w:rPr>
        <w:t xml:space="preserve"> are well suited to early‑stage work, receptor‑profiling studies, and small‑animal or in‑vitro protocols where smaller amounts and fine titration are needed.</w:t>
      </w:r>
    </w:p>
    <w:p>
      <w:pPr>
        <w:numPr>
          <w:ilvl w:val="0"/>
          <w:numId w:val="5"/>
        </w:numPr>
        <w:spacing w:line="360" w:before="105" w:after="105" w:lineRule="auto"/>
      </w:pPr>
      <w:r>
        <w:rPr>
          <w:rFonts w:eastAsia="georgia" w:cs="georgia" w:ascii="georgia" w:hAnsi="georgia"/>
          <w:b/>
          <w:color w:val="000000"/>
          <w:sz w:val="21"/>
        </w:rPr>
        <w:t xml:space="preserve">10 mg vials</w:t>
      </w:r>
      <w:r>
        <w:rPr>
          <w:rFonts w:eastAsia="georgia" w:cs="georgia" w:ascii="georgia" w:hAnsi="georgia"/>
          <w:color w:val="000000"/>
          <w:sz w:val="21"/>
        </w:rPr>
        <w:t xml:space="preserve"> may be used in extended studies, large cohorts, or when multiple dose levels are explored over longer timelines.</w:t>
      </w:r>
    </w:p>
    <w:p>
      <w:pPr>
        <w:spacing w:line="360" w:after="210" w:lineRule="auto"/>
      </w:pPr>
      <w:r>
        <w:rPr>
          <w:rFonts w:eastAsia="georgia" w:cs="georgia" w:ascii="georgia" w:hAnsi="georgia"/>
          <w:color w:val="000000"/>
        </w:rPr>
        <w:t xml:space="preserve">Both formats contain the same peptide; selection is based on projected total use and preferred stock concentrations.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handling_reconstitution_and_storage"/>
      <w:r>
        <w:rPr>
          <w:rFonts w:eastAsia="georgia" w:cs="georgia" w:ascii="georgia" w:hAnsi="georgia"/>
          <w:b/>
          <w:color w:val="000000"/>
          <w:sz w:val="24"/>
        </w:rPr>
        <w:t xml:space="preserve">Handling, reconstitution, and storage</w:t>
      </w:r>
      <w:bookmarkEnd w:id="12"/>
    </w:p>
    <w:p>
      <w:pPr>
        <w:spacing w:line="360" w:before="315" w:after="105" w:lineRule="auto"/>
        <w:ind w:left="-30"/>
        <w:jc w:val="left"/>
      </w:pPr>
      <w:bookmarkStart w:id="13" w:name="lyophilized_peptide_storage"/>
      <w:r>
        <w:rPr>
          <w:rFonts w:eastAsia="georgia" w:cs="georgia" w:ascii="georgia" w:hAnsi="georgia"/>
          <w:b/>
          <w:color w:val="000000"/>
          <w:sz w:val="24"/>
        </w:rPr>
        <w:t xml:space="preserve">Lyophilized peptide storage</w:t>
      </w:r>
      <w:bookmarkEnd w:id="13"/>
    </w:p>
    <w:p>
      <w:pPr>
        <w:numPr>
          <w:ilvl w:val="0"/>
          <w:numId w:val="6"/>
        </w:numPr>
        <w:spacing w:line="360" w:before="105" w:after="105" w:lineRule="auto"/>
      </w:pPr>
      <w:r>
        <w:rPr>
          <w:rFonts w:eastAsia="georgia" w:cs="georgia" w:ascii="georgia" w:hAnsi="georgia"/>
          <w:color w:val="000000"/>
          <w:sz w:val="21"/>
        </w:rPr>
        <w:t xml:space="preserve">Store dry PT‑141 vials at −20 °C or below in a sealed, desiccated container.[web:164][web:166][web:170]</w:t>
      </w:r>
    </w:p>
    <w:p>
      <w:pPr>
        <w:numPr>
          <w:ilvl w:val="0"/>
          <w:numId w:val="6"/>
        </w:numPr>
        <w:spacing w:line="360" w:before="105" w:after="105" w:lineRule="auto"/>
      </w:pPr>
      <w:r>
        <w:rPr>
          <w:rFonts w:eastAsia="georgia" w:cs="georgia" w:ascii="georgia" w:hAnsi="georgia"/>
          <w:color w:val="000000"/>
          <w:sz w:val="21"/>
        </w:rPr>
        <w:t xml:space="preserve">Protect from light (e.g., amber vials or secondary light‑blocking packaging), as melanocortin peptides can be photosensitive.[web:164][web:172]</w:t>
      </w:r>
    </w:p>
    <w:p>
      <w:pPr>
        <w:spacing w:line="360" w:before="315" w:after="105" w:lineRule="auto"/>
        <w:ind w:left="-30"/>
        <w:jc w:val="left"/>
      </w:pPr>
      <w:bookmarkStart w:id="14" w:name="reconstitution"/>
      <w:r>
        <w:rPr>
          <w:rFonts w:eastAsia="georgia" w:cs="georgia" w:ascii="georgia" w:hAnsi="georgia"/>
          <w:b/>
          <w:color w:val="000000"/>
          <w:sz w:val="24"/>
        </w:rPr>
        <w:t xml:space="preserve">Reconstitution</w:t>
      </w:r>
      <w:bookmarkEnd w:id="14"/>
    </w:p>
    <w:p>
      <w:pPr>
        <w:numPr>
          <w:ilvl w:val="0"/>
          <w:numId w:val="7"/>
        </w:numPr>
        <w:spacing w:line="360" w:before="105" w:after="105" w:lineRule="auto"/>
      </w:pPr>
      <w:r>
        <w:rPr>
          <w:rFonts w:eastAsia="georgia" w:cs="georgia" w:ascii="georgia" w:hAnsi="georgia"/>
          <w:color w:val="000000"/>
          <w:sz w:val="21"/>
        </w:rPr>
        <w:t xml:space="preserve">Reconstitute using sterile water, bacteriostatic water (0.9% benzyl alcohol), or an appropriate sterile buffer compatible with the intended assay.</w:t>
      </w:r>
    </w:p>
    <w:p>
      <w:pPr>
        <w:numPr>
          <w:ilvl w:val="0"/>
          <w:numId w:val="7"/>
        </w:numPr>
        <w:spacing w:line="360" w:before="105" w:after="105" w:lineRule="auto"/>
      </w:pPr>
      <w:r>
        <w:rPr>
          <w:rFonts w:eastAsia="georgia" w:cs="georgia" w:ascii="georgia" w:hAnsi="georgia"/>
          <w:color w:val="000000"/>
          <w:sz w:val="21"/>
        </w:rPr>
        <w:t xml:space="preserve">Allow the vial to warm briefly to room temperature, then add solvent slowly along the inner wall.</w:t>
      </w:r>
    </w:p>
    <w:p>
      <w:pPr>
        <w:numPr>
          <w:ilvl w:val="0"/>
          <w:numId w:val="7"/>
        </w:numPr>
        <w:spacing w:line="360" w:before="105" w:after="105" w:lineRule="auto"/>
      </w:pPr>
      <w:r>
        <w:rPr>
          <w:rFonts w:eastAsia="georgia" w:cs="georgia" w:ascii="georgia" w:hAnsi="georgia"/>
          <w:color w:val="000000"/>
          <w:sz w:val="21"/>
        </w:rPr>
        <w:t xml:space="preserve">Gently swirl until the powder has fully dissolved; avoid vigorous shaking or foaming.</w:t>
      </w:r>
    </w:p>
    <w:p>
      <w:pPr>
        <w:numPr>
          <w:ilvl w:val="0"/>
          <w:numId w:val="7"/>
        </w:numPr>
        <w:spacing w:line="360" w:before="105" w:after="105" w:lineRule="auto"/>
      </w:pPr>
      <w:r>
        <w:rPr>
          <w:rFonts w:eastAsia="georgia" w:cs="georgia" w:ascii="georgia" w:hAnsi="georgia"/>
          <w:color w:val="000000"/>
          <w:sz w:val="21"/>
        </w:rPr>
        <w:t xml:space="preserve">Record the final concentration, solvent, and date for reproducible use.</w:t>
      </w:r>
    </w:p>
    <w:p>
      <w:pPr>
        <w:spacing w:line="360" w:before="315" w:after="105" w:lineRule="auto"/>
        <w:ind w:left="-30"/>
        <w:jc w:val="left"/>
      </w:pPr>
      <w:bookmarkStart w:id="15" w:name="reconstituted_solutions"/>
      <w:r>
        <w:rPr>
          <w:rFonts w:eastAsia="georgia" w:cs="georgia" w:ascii="georgia" w:hAnsi="georgia"/>
          <w:b/>
          <w:color w:val="000000"/>
          <w:sz w:val="24"/>
        </w:rPr>
        <w:t xml:space="preserve">Reconstituted solutions</w:t>
      </w:r>
      <w:bookmarkEnd w:id="15"/>
    </w:p>
    <w:p>
      <w:pPr>
        <w:numPr>
          <w:ilvl w:val="0"/>
          <w:numId w:val="8"/>
        </w:numPr>
        <w:spacing w:line="360" w:before="105" w:after="105" w:lineRule="auto"/>
      </w:pPr>
      <w:r>
        <w:rPr>
          <w:rFonts w:eastAsia="georgia" w:cs="georgia" w:ascii="georgia" w:hAnsi="georgia"/>
          <w:color w:val="000000"/>
          <w:sz w:val="21"/>
        </w:rPr>
        <w:t xml:space="preserve">For short‑term use, store at 2–8 °C and use within a laboratory‑defined stability window.</w:t>
      </w:r>
    </w:p>
    <w:p>
      <w:pPr>
        <w:numPr>
          <w:ilvl w:val="0"/>
          <w:numId w:val="8"/>
        </w:numPr>
        <w:spacing w:line="360" w:before="105" w:after="105" w:lineRule="auto"/>
      </w:pPr>
      <w:r>
        <w:rPr>
          <w:rFonts w:eastAsia="georgia" w:cs="georgia" w:ascii="georgia" w:hAnsi="georgia"/>
          <w:color w:val="000000"/>
          <w:sz w:val="21"/>
        </w:rPr>
        <w:t xml:space="preserve">For extended work, aliquot and freeze at −20 °C or below, minimizing freeze–thaw cycles.[web:164]</w:t>
      </w:r>
    </w:p>
    <w:p>
      <w:pPr>
        <w:numPr>
          <w:ilvl w:val="0"/>
          <w:numId w:val="8"/>
        </w:numPr>
        <w:spacing w:line="360" w:before="105" w:after="105" w:lineRule="auto"/>
      </w:pPr>
      <w:r>
        <w:rPr>
          <w:rFonts w:eastAsia="georgia" w:cs="georgia" w:ascii="georgia" w:hAnsi="georgia"/>
          <w:color w:val="000000"/>
          <w:sz w:val="21"/>
        </w:rPr>
        <w:t xml:space="preserve">Protect solutions from light during storage and handling, and discard if turbidity, particulate matter, or colour change is observed.[web:164][web:166]</w:t>
      </w:r>
    </w:p>
    <w:p>
      <w:pPr>
        <w:spacing w:line="360" w:after="210" w:lineRule="auto"/>
      </w:pPr>
      <w:r>
        <w:rPr>
          <w:rFonts w:eastAsia="georgia" w:cs="georgia" w:ascii="georgia" w:hAnsi="georgia"/>
          <w:color w:val="000000"/>
        </w:rPr>
        <w:t xml:space="preserve">Each laboratory should verify stability under its own conditions and follow institutional quality and biosafety procedures.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analytical_quality_and_documentation"/>
      <w:r>
        <w:rPr>
          <w:rFonts w:eastAsia="georgia" w:cs="georgia" w:ascii="georgia" w:hAnsi="georgia"/>
          <w:b/>
          <w:color w:val="000000"/>
          <w:sz w:val="24"/>
        </w:rPr>
        <w:t xml:space="preserve">Analytical quality and documentation</w:t>
      </w:r>
      <w:bookmarkEnd w:id="16"/>
    </w:p>
    <w:p>
      <w:pPr>
        <w:spacing w:line="360" w:after="210" w:lineRule="auto"/>
      </w:pPr>
      <w:r>
        <w:rPr>
          <w:rFonts w:eastAsia="georgia" w:cs="georgia" w:ascii="georgia" w:hAnsi="georgia"/>
          <w:color w:val="000000"/>
        </w:rPr>
        <w:t xml:space="preserve">Research‑grade PT‑141 is generally produced by solid‑phase peptide synthesis and undergoes analytical verification before release:</w:t>
      </w:r>
    </w:p>
    <w:p>
      <w:pPr>
        <w:numPr>
          <w:ilvl w:val="0"/>
          <w:numId w:val="9"/>
        </w:numPr>
        <w:spacing w:line="360" w:before="105" w:after="105" w:lineRule="auto"/>
      </w:pPr>
      <w:r>
        <w:rPr>
          <w:rFonts w:eastAsia="georgia" w:cs="georgia" w:ascii="georgia" w:hAnsi="georgia"/>
          <w:b/>
          <w:color w:val="000000"/>
          <w:sz w:val="21"/>
        </w:rPr>
        <w:t xml:space="preserve">Purity</w:t>
      </w:r>
    </w:p>
    <w:p>
      <w:pPr>
        <w:numPr>
          <w:ilvl w:val="1"/>
          <w:numId w:val="9"/>
        </w:numPr>
        <w:spacing w:line="360" w:before="105" w:after="105" w:lineRule="auto"/>
      </w:pPr>
      <w:r>
        <w:rPr>
          <w:rFonts w:eastAsia="georgia" w:cs="georgia" w:ascii="georgia" w:hAnsi="georgia"/>
          <w:color w:val="000000"/>
          <w:sz w:val="21"/>
        </w:rPr>
        <w:t xml:space="preserve">Reversed‑phase HPLC confirming high purity (often ≥98–99%), with documentation of related substances and synthesis by‑products.[web:163][web:166]</w:t>
      </w:r>
    </w:p>
    <w:p>
      <w:pPr>
        <w:numPr>
          <w:ilvl w:val="0"/>
          <w:numId w:val="9"/>
        </w:numPr>
        <w:spacing w:line="360" w:before="105" w:after="105" w:lineRule="auto"/>
      </w:pPr>
      <w:r>
        <w:rPr>
          <w:rFonts w:eastAsia="georgia" w:cs="georgia" w:ascii="georgia" w:hAnsi="georgia"/>
          <w:b/>
          <w:color w:val="000000"/>
          <w:sz w:val="21"/>
        </w:rPr>
        <w:t xml:space="preserve">Identity</w:t>
      </w:r>
    </w:p>
    <w:p>
      <w:pPr>
        <w:numPr>
          <w:ilvl w:val="1"/>
          <w:numId w:val="9"/>
        </w:numPr>
        <w:spacing w:line="360" w:before="105" w:after="105" w:lineRule="auto"/>
      </w:pPr>
      <w:r>
        <w:rPr>
          <w:rFonts w:eastAsia="georgia" w:cs="georgia" w:ascii="georgia" w:hAnsi="georgia"/>
          <w:color w:val="000000"/>
          <w:sz w:val="21"/>
        </w:rPr>
        <w:t xml:space="preserve">Mass spectrometry verifying the expected molecular weight (~1025.2 g/mol) and fragmentation pattern consistent with the PT‑141 sequence.[web:164][web:167][web:170]</w:t>
      </w:r>
    </w:p>
    <w:p>
      <w:pPr>
        <w:numPr>
          <w:ilvl w:val="0"/>
          <w:numId w:val="9"/>
        </w:numPr>
        <w:spacing w:line="360" w:before="105" w:after="105" w:lineRule="auto"/>
      </w:pPr>
      <w:r>
        <w:rPr>
          <w:rFonts w:eastAsia="georgia" w:cs="georgia" w:ascii="georgia" w:hAnsi="georgia"/>
          <w:b/>
          <w:color w:val="000000"/>
          <w:sz w:val="21"/>
        </w:rPr>
        <w:t xml:space="preserve">Additional testing</w:t>
      </w:r>
    </w:p>
    <w:p>
      <w:pPr>
        <w:numPr>
          <w:ilvl w:val="1"/>
          <w:numId w:val="9"/>
        </w:numPr>
        <w:spacing w:line="360" w:before="105" w:after="105" w:lineRule="auto"/>
      </w:pPr>
      <w:r>
        <w:rPr>
          <w:rFonts w:eastAsia="georgia" w:cs="georgia" w:ascii="georgia" w:hAnsi="georgia"/>
          <w:color w:val="000000"/>
          <w:sz w:val="21"/>
        </w:rPr>
        <w:t xml:space="preserve">Microbial and endotoxin testing appropriate for research‑grade materials.</w:t>
      </w:r>
    </w:p>
    <w:p>
      <w:pPr>
        <w:numPr>
          <w:ilvl w:val="1"/>
          <w:numId w:val="9"/>
        </w:numPr>
        <w:spacing w:line="360" w:before="105" w:after="105" w:lineRule="auto"/>
      </w:pPr>
      <w:r>
        <w:rPr>
          <w:rFonts w:eastAsia="georgia" w:cs="georgia" w:ascii="georgia" w:hAnsi="georgia"/>
          <w:color w:val="000000"/>
          <w:sz w:val="21"/>
        </w:rPr>
        <w:t xml:space="preserve">Residual solvent and water‑content measurements following relevant guidelines.[web:164][web:171]</w:t>
      </w:r>
    </w:p>
    <w:p>
      <w:pPr>
        <w:spacing w:line="360" w:after="210" w:lineRule="auto"/>
      </w:pPr>
      <w:r>
        <w:rPr>
          <w:rFonts w:eastAsia="georgia" w:cs="georgia" w:ascii="georgia" w:hAnsi="georgia"/>
          <w:color w:val="000000"/>
        </w:rPr>
        <w:t xml:space="preserve">Batch‑specific Certificates of Analysis (COAs) provide exact specifications, assay methods, and acceptance criteria, and should be consulted when planning experiments.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research_use_only_and_safety_notice"/>
      <w:r>
        <w:rPr>
          <w:rFonts w:eastAsia="georgia" w:cs="georgia" w:ascii="georgia" w:hAnsi="georgia"/>
          <w:b/>
          <w:color w:val="000000"/>
          <w:sz w:val="24"/>
        </w:rPr>
        <w:t xml:space="preserve">Research‑use‑only and safety notice</w:t>
      </w:r>
      <w:bookmarkEnd w:id="17"/>
    </w:p>
    <w:p>
      <w:pPr>
        <w:spacing w:line="360" w:after="210" w:lineRule="auto"/>
        <w:ind w:left="630"/>
      </w:pPr>
      <w:r>
        <w:rPr>
          <w:rFonts w:eastAsia="georgia" w:cs="georgia" w:ascii="georgia" w:hAnsi="georgia"/>
          <w:b/>
          <w:color w:val="000000"/>
        </w:rPr>
        <w:t xml:space="preserve">FOR LABORATORY RESEARCH USE ONLY – NOT FOR HUMAN OR VETERINARY USE</w:t>
      </w:r>
      <w:r>
        <w:rPr>
          <w:rFonts w:eastAsia="georgia" w:cs="georgia" w:ascii="georgia" w:hAnsi="georgia"/>
          <w:color w:val="000000"/>
        </w:rPr>
        <w:br w:type="textWrapping"/>
      </w:r>
      <w:r>
        <w:rPr>
          <w:rFonts w:eastAsia="georgia" w:cs="georgia" w:ascii="georgia" w:hAnsi="georgia"/>
          <w:color w:val="000000"/>
        </w:rPr>
        <w:t xml:space="preserve">PT‑141 5 mg is supplied solely as a research peptide for in‑vitro studies and in‑vivo animal experiments conducted under institutional oversight. It is distinct from approved drug products and has not been evaluated or authorised by the FDA, EMA, or other regulatory bodies when supplied as a research chemical.[web:163][web:166][web:171]</w:t>
      </w:r>
    </w:p>
    <w:p>
      <w:pPr>
        <w:spacing w:line="360" w:after="210" w:lineRule="auto"/>
        <w:ind w:left="630"/>
      </w:pPr>
      <w:r>
        <w:rPr>
          <w:rFonts w:eastAsia="georgia" w:cs="georgia" w:ascii="georgia" w:hAnsi="georgia"/>
          <w:color w:val="000000"/>
        </w:rPr>
        <w:t xml:space="preserve">This material must not be used for diagnosis, treatment, mitigation, cure, or prevention of any disease and must not be administered to humans or animals outside properly approved research protocols. All handling should follow applicable biosafety, chemical‑safety, and waste‑disposal requirements.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2026-04-30T10:34:56.469Z</dcterms:created>
  <dcterms:modified xsi:type="dcterms:W3CDTF">2026-04-30T10:34:56.469Z</dcterms:modified>
</cp:coreProperties>
</file>