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70" w:before="157.5" w:after="157.5" w:lineRule="auto"/>
        <w:jc w:val="left"/>
      </w:pPr>
      <w:bookmarkStart w:id="0" w:name="retatrutide_10_mg_triple_incretin_94ae26"/>
      <w:r>
        <w:rPr>
          <w:rFonts w:eastAsia="georgia" w:cs="georgia" w:ascii="georgia" w:hAnsi="georgia"/>
          <w:b/>
          <w:color w:val="000000"/>
          <w:sz w:val="39"/>
        </w:rPr>
        <w:t xml:space="preserve">Retatrutide (10 mg) – Triple Incretin Receptor Agonist Research Peptide</w:t>
      </w:r>
      <w:bookmarkEnd w:id="0"/>
    </w:p>
    <w:p>
      <w:pPr>
        <w:spacing w:line="360" w:before="315" w:after="105" w:lineRule="auto"/>
        <w:ind w:left="-30"/>
        <w:jc w:val="left"/>
      </w:pPr>
      <w:bookmarkStart w:id="1" w:name="product_overview"/>
      <w:r>
        <w:rPr>
          <w:rFonts w:eastAsia="georgia" w:cs="georgia" w:ascii="georgia" w:hAnsi="georgia"/>
          <w:b/>
          <w:color w:val="000000"/>
          <w:sz w:val="24"/>
        </w:rPr>
        <w:t xml:space="preserve">Product overview</w:t>
      </w:r>
      <w:bookmarkEnd w:id="1"/>
    </w:p>
    <w:p>
      <w:pPr>
        <w:spacing w:line="360" w:after="210" w:lineRule="auto"/>
      </w:pPr>
      <w:r>
        <w:rPr>
          <w:rFonts w:eastAsia="georgia" w:cs="georgia" w:ascii="georgia" w:hAnsi="georgia"/>
          <w:color w:val="000000"/>
        </w:rPr>
        <w:t xml:space="preserve">Retatrutide (also referred to in some research materials as LY3437943 or "Reta") is an investigational synthetic peptide designed as a balanced triple agonist at the GLP‑1, GIP, and glucagon receptors.[conversation_history:1] In laboratory and clinical research models, this multi‑pathway profile is used to study energy balance, body‑weight regulation, glucose homeostasis, and liver fat metabolism.[conversation_history:1]</w:t>
      </w:r>
    </w:p>
    <w:p>
      <w:pPr>
        <w:spacing w:line="360" w:after="210" w:lineRule="auto"/>
      </w:pPr>
      <w:r>
        <w:rPr>
          <w:rFonts w:eastAsia="georgia" w:cs="georgia" w:ascii="georgia" w:hAnsi="georgia"/>
          <w:color w:val="000000"/>
        </w:rPr>
        <w:t xml:space="preserve">This description is written for a research‑only e‑commerce context. It is intended to help laboratories understand how retatrutide fits into metabolic and endocrine research workflows. It is not guidance for treatment, dosing, or any non‑research use.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 w:name="quick_product_snapshot"/>
      <w:r>
        <w:rPr>
          <w:rFonts w:eastAsia="georgia" w:cs="georgia" w:ascii="georgia" w:hAnsi="georgia"/>
          <w:b/>
          <w:color w:val="000000"/>
          <w:sz w:val="24"/>
        </w:rPr>
        <w:t xml:space="preserve">Quick product snapshot</w:t>
      </w:r>
      <w:bookmarkEnd w:id="2"/>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Field</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Detail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Product name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Retatrutide (Reta) 10 mg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Peptide type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Investigational triple‑incretin receptor agonist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Content per vial</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10 mg lyophilized peptide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Purity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 99% (research grade, per supplier COA)</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Appearance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White to off‑white lyophilized powder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Storage (powder)</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Store at −20 °C in a cool, dry, dark environment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Storage (solution)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3–6 °C after reconstitution; avoid repeated freeze–thaw cycles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Intended use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In‑vitro and preclinical research only</w:t>
            </w:r>
          </w:p>
        </w:tc>
      </w:tr>
    </w:tbl>
    <w:p>
      <w:pPr>
        <w:spacing w:lineRule="auto"/>
      </w:pPr>
    </w:p>
    <w:p>
      <w:pPr>
        <w:spacing w:line="360" w:after="210" w:lineRule="auto"/>
      </w:pPr>
      <w:r>
        <w:rPr>
          <w:rFonts w:eastAsia="georgia" w:cs="georgia" w:ascii="georgia" w:hAnsi="georgia"/>
          <w:color w:val="000000"/>
        </w:rPr>
        <w:t xml:space="preserve">The above is a generic research‑grade specification. Laboratories should always refer to the exact values listed on the batch‑specific Certificate of Analysis (COA) supplied with the product.[conversation_history:1]</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 w:name="identity_and_basic_characteristics"/>
      <w:r>
        <w:rPr>
          <w:rFonts w:eastAsia="georgia" w:cs="georgia" w:ascii="georgia" w:hAnsi="georgia"/>
          <w:b/>
          <w:color w:val="000000"/>
          <w:sz w:val="24"/>
        </w:rPr>
        <w:t xml:space="preserve">Identity and basic characteristics</w:t>
      </w:r>
      <w:bookmarkEnd w:id="3"/>
    </w:p>
    <w:p>
      <w:pPr>
        <w:spacing w:line="360" w:after="210" w:lineRule="auto"/>
      </w:pPr>
      <w:r>
        <w:rPr>
          <w:rFonts w:eastAsia="georgia" w:cs="georgia" w:ascii="georgia" w:hAnsi="georgia"/>
          <w:color w:val="000000"/>
        </w:rPr>
        <w:t xml:space="preserve">Retatrutide is a long‑acting synthetic peptide engineered to engage three key metabolic receptors simultaneously:</w:t>
      </w:r>
    </w:p>
    <w:p>
      <w:pPr>
        <w:numPr>
          <w:ilvl w:val="0"/>
          <w:numId w:val="1"/>
        </w:numPr>
        <w:spacing w:line="360" w:before="105" w:after="105" w:lineRule="auto"/>
      </w:pPr>
      <w:r>
        <w:rPr>
          <w:rFonts w:eastAsia="georgia" w:cs="georgia" w:ascii="georgia" w:hAnsi="georgia"/>
          <w:color w:val="000000"/>
          <w:sz w:val="21"/>
        </w:rPr>
        <w:t xml:space="preserve">GLP‑1 receptor (glucagon‑like peptide‑1)</w:t>
      </w:r>
    </w:p>
    <w:p>
      <w:pPr>
        <w:numPr>
          <w:ilvl w:val="0"/>
          <w:numId w:val="1"/>
        </w:numPr>
        <w:spacing w:line="360" w:before="105" w:after="105" w:lineRule="auto"/>
      </w:pPr>
      <w:r>
        <w:rPr>
          <w:rFonts w:eastAsia="georgia" w:cs="georgia" w:ascii="georgia" w:hAnsi="georgia"/>
          <w:color w:val="000000"/>
          <w:sz w:val="21"/>
        </w:rPr>
        <w:t xml:space="preserve">GIP receptor (glucose‑dependent insulinotropic polypeptide)</w:t>
      </w:r>
    </w:p>
    <w:p>
      <w:pPr>
        <w:numPr>
          <w:ilvl w:val="0"/>
          <w:numId w:val="1"/>
        </w:numPr>
        <w:spacing w:line="360" w:before="105" w:after="105" w:lineRule="auto"/>
      </w:pPr>
      <w:r>
        <w:rPr>
          <w:rFonts w:eastAsia="georgia" w:cs="georgia" w:ascii="georgia" w:hAnsi="georgia"/>
          <w:color w:val="000000"/>
          <w:sz w:val="21"/>
        </w:rPr>
        <w:t xml:space="preserve">Glucagon receptor (GCGR)[conversation_history:1]</w:t>
      </w:r>
    </w:p>
    <w:p>
      <w:pPr>
        <w:spacing w:line="360" w:after="210" w:lineRule="auto"/>
      </w:pPr>
      <w:r>
        <w:rPr>
          <w:rFonts w:eastAsia="georgia" w:cs="georgia" w:ascii="georgia" w:hAnsi="georgia"/>
          <w:color w:val="000000"/>
        </w:rPr>
        <w:t xml:space="preserve">Key identity points:</w:t>
      </w:r>
    </w:p>
    <w:p>
      <w:pPr>
        <w:numPr>
          <w:ilvl w:val="0"/>
          <w:numId w:val="2"/>
        </w:numPr>
        <w:spacing w:line="360" w:before="105" w:after="105" w:lineRule="auto"/>
      </w:pPr>
      <w:r>
        <w:rPr>
          <w:rFonts w:eastAsia="georgia" w:cs="georgia" w:ascii="georgia" w:hAnsi="georgia"/>
          <w:color w:val="000000"/>
          <w:sz w:val="21"/>
        </w:rPr>
        <w:t xml:space="preserve">Common research names: retatrutide, LY3437943[conversation_history:1]</w:t>
      </w:r>
    </w:p>
    <w:p>
      <w:pPr>
        <w:numPr>
          <w:ilvl w:val="0"/>
          <w:numId w:val="2"/>
        </w:numPr>
        <w:spacing w:line="360" w:before="105" w:after="105" w:lineRule="auto"/>
      </w:pPr>
      <w:r>
        <w:rPr>
          <w:rFonts w:eastAsia="georgia" w:cs="georgia" w:ascii="georgia" w:hAnsi="georgia"/>
          <w:color w:val="000000"/>
          <w:sz w:val="21"/>
        </w:rPr>
        <w:t xml:space="preserve">Classification: investigational triple‑agonist peptide</w:t>
      </w:r>
    </w:p>
    <w:p>
      <w:pPr>
        <w:numPr>
          <w:ilvl w:val="0"/>
          <w:numId w:val="2"/>
        </w:numPr>
        <w:spacing w:line="360" w:before="105" w:after="105" w:lineRule="auto"/>
      </w:pPr>
      <w:r>
        <w:rPr>
          <w:rFonts w:eastAsia="georgia" w:cs="georgia" w:ascii="georgia" w:hAnsi="georgia"/>
          <w:color w:val="000000"/>
          <w:sz w:val="21"/>
        </w:rPr>
        <w:t xml:space="preserve">Approximate size: 39 amino acids (exact sequence and some structural details remain proprietary in public sources)[conversation_history:1]</w:t>
      </w:r>
    </w:p>
    <w:p>
      <w:pPr>
        <w:numPr>
          <w:ilvl w:val="0"/>
          <w:numId w:val="2"/>
        </w:numPr>
        <w:spacing w:line="360" w:before="105" w:after="105" w:lineRule="auto"/>
      </w:pPr>
      <w:r>
        <w:rPr>
          <w:rFonts w:eastAsia="georgia" w:cs="georgia" w:ascii="georgia" w:hAnsi="georgia"/>
          <w:color w:val="000000"/>
          <w:sz w:val="21"/>
        </w:rPr>
        <w:t xml:space="preserve">Typical form: lyophilized acetate salt at high purity (≈ 98–99% by HPLC) for research use</w:t>
      </w:r>
    </w:p>
    <w:p>
      <w:pPr>
        <w:spacing w:line="360" w:after="210" w:lineRule="auto"/>
      </w:pPr>
      <w:r>
        <w:rPr>
          <w:rFonts w:eastAsia="georgia" w:cs="georgia" w:ascii="georgia" w:hAnsi="georgia"/>
          <w:color w:val="000000"/>
        </w:rPr>
        <w:t xml:space="preserve">Because retatrutide remains in late‑stage development, detailed molecular identifiers such as a finalized CAS number or full public sequence may not be available in standard chemical databases at this time.[conversation_history:1]</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 w:name="scientific_background_non_clinical"/>
      <w:r>
        <w:rPr>
          <w:rFonts w:eastAsia="georgia" w:cs="georgia" w:ascii="georgia" w:hAnsi="georgia"/>
          <w:b/>
          <w:color w:val="000000"/>
          <w:sz w:val="24"/>
        </w:rPr>
        <w:t xml:space="preserve">Scientific background (non‑clinical)</w:t>
      </w:r>
      <w:bookmarkEnd w:id="4"/>
    </w:p>
    <w:p>
      <w:pPr>
        <w:spacing w:line="360" w:before="315" w:after="105" w:lineRule="auto"/>
        <w:ind w:left="-30"/>
        <w:jc w:val="left"/>
      </w:pPr>
      <w:bookmarkStart w:id="5" w:name="triple_incretin_concept"/>
      <w:r>
        <w:rPr>
          <w:rFonts w:eastAsia="georgia" w:cs="georgia" w:ascii="georgia" w:hAnsi="georgia"/>
          <w:b/>
          <w:color w:val="000000"/>
          <w:sz w:val="24"/>
        </w:rPr>
        <w:t xml:space="preserve">Triple‑incretin concept</w:t>
      </w:r>
      <w:bookmarkEnd w:id="5"/>
    </w:p>
    <w:p>
      <w:pPr>
        <w:spacing w:line="360" w:after="210" w:lineRule="auto"/>
      </w:pPr>
      <w:r>
        <w:rPr>
          <w:rFonts w:eastAsia="georgia" w:cs="georgia" w:ascii="georgia" w:hAnsi="georgia"/>
          <w:color w:val="000000"/>
        </w:rPr>
        <w:t xml:space="preserve">Traditional incretin‑based research often focuses on single‑pathway agonists (for example, GLP‑1 agonists) or dual agonists that act on GLP‑1 and GIP receptors.[conversation_history:1] Retatrutide extends this approach by combining:</w:t>
      </w:r>
    </w:p>
    <w:p>
      <w:pPr>
        <w:numPr>
          <w:ilvl w:val="0"/>
          <w:numId w:val="3"/>
        </w:numPr>
        <w:spacing w:line="360" w:before="105" w:after="105" w:lineRule="auto"/>
      </w:pPr>
      <w:r>
        <w:rPr>
          <w:rFonts w:eastAsia="georgia" w:cs="georgia" w:ascii="georgia" w:hAnsi="georgia"/>
          <w:color w:val="000000"/>
          <w:sz w:val="21"/>
        </w:rPr>
        <w:t xml:space="preserve">GLP‑1 receptor activation – associated with appetite regulation, delayed gastric emptying, and glucose‑dependent insulin secretion.</w:t>
      </w:r>
    </w:p>
    <w:p>
      <w:pPr>
        <w:numPr>
          <w:ilvl w:val="0"/>
          <w:numId w:val="3"/>
        </w:numPr>
        <w:spacing w:line="360" w:before="105" w:after="105" w:lineRule="auto"/>
      </w:pPr>
      <w:r>
        <w:rPr>
          <w:rFonts w:eastAsia="georgia" w:cs="georgia" w:ascii="georgia" w:hAnsi="georgia"/>
          <w:color w:val="000000"/>
          <w:sz w:val="21"/>
        </w:rPr>
        <w:t xml:space="preserve">GIP receptor activation – associated with insulinotropic effects and modulation of fat metabolism.</w:t>
      </w:r>
    </w:p>
    <w:p>
      <w:pPr>
        <w:numPr>
          <w:ilvl w:val="0"/>
          <w:numId w:val="3"/>
        </w:numPr>
        <w:spacing w:line="360" w:before="105" w:after="105" w:lineRule="auto"/>
      </w:pPr>
      <w:r>
        <w:rPr>
          <w:rFonts w:eastAsia="georgia" w:cs="georgia" w:ascii="georgia" w:hAnsi="georgia"/>
          <w:color w:val="000000"/>
          <w:sz w:val="21"/>
        </w:rPr>
        <w:t xml:space="preserve">Glucagon receptor activation – associated with increased energy expenditure, hepatic glycogen breakdown, and enhanced fat oxidation.[conversation_history:1]</w:t>
      </w:r>
    </w:p>
    <w:p>
      <w:pPr>
        <w:spacing w:line="360" w:after="210" w:lineRule="auto"/>
      </w:pPr>
      <w:r>
        <w:rPr>
          <w:rFonts w:eastAsia="georgia" w:cs="georgia" w:ascii="georgia" w:hAnsi="georgia"/>
          <w:color w:val="000000"/>
        </w:rPr>
        <w:t xml:space="preserve">The combined, balanced activation of these three receptors allows researchers to explore how simultaneous modulation of appetite, insulin signaling, and energy expenditure affects body‑weight regulation and metabolic health in experimental models.[conversation_history:1]</w:t>
      </w:r>
    </w:p>
    <w:p>
      <w:pPr>
        <w:spacing w:line="360" w:before="315" w:after="105" w:lineRule="auto"/>
        <w:ind w:left="-30"/>
        <w:jc w:val="left"/>
      </w:pPr>
      <w:bookmarkStart w:id="6" w:name="long_acting_profile"/>
      <w:r>
        <w:rPr>
          <w:rFonts w:eastAsia="georgia" w:cs="georgia" w:ascii="georgia" w:hAnsi="georgia"/>
          <w:b/>
          <w:color w:val="000000"/>
          <w:sz w:val="24"/>
        </w:rPr>
        <w:t xml:space="preserve">Long‑acting profile</w:t>
      </w:r>
      <w:bookmarkEnd w:id="6"/>
    </w:p>
    <w:p>
      <w:pPr>
        <w:spacing w:line="360" w:after="210" w:lineRule="auto"/>
      </w:pPr>
      <w:r>
        <w:rPr>
          <w:rFonts w:eastAsia="georgia" w:cs="georgia" w:ascii="georgia" w:hAnsi="georgia"/>
          <w:color w:val="000000"/>
        </w:rPr>
        <w:t xml:space="preserve">Retatrutide has been designed with a long pharmacokinetic half‑life (on the order of several days) to allow once‑weekly administration in clinical research protocols.[conversation_history:1] This makes it a useful tool for studying sustained receptor engagement and long‑term changes in body weight, adiposity, and metabolic markers over weeks to months.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7" w:name="mechanism_of_action_in_research_models"/>
      <w:r>
        <w:rPr>
          <w:rFonts w:eastAsia="georgia" w:cs="georgia" w:ascii="georgia" w:hAnsi="georgia"/>
          <w:b/>
          <w:color w:val="000000"/>
          <w:sz w:val="24"/>
        </w:rPr>
        <w:t xml:space="preserve">Mechanism of action in research models</w:t>
      </w:r>
      <w:bookmarkEnd w:id="7"/>
    </w:p>
    <w:p>
      <w:pPr>
        <w:spacing w:line="360" w:after="210" w:lineRule="auto"/>
      </w:pPr>
      <w:r>
        <w:rPr>
          <w:rFonts w:eastAsia="georgia" w:cs="georgia" w:ascii="georgia" w:hAnsi="georgia"/>
          <w:color w:val="000000"/>
        </w:rPr>
        <w:t xml:space="preserve">Within research and clinical trial settings, retatrutide behaves as a balanced triple agonist with high affinity for incretin and glucagon receptors:[conversation_history:1]</w:t>
      </w:r>
    </w:p>
    <w:p>
      <w:pPr>
        <w:numPr>
          <w:ilvl w:val="0"/>
          <w:numId w:val="4"/>
        </w:numPr>
        <w:spacing w:line="360" w:after="210" w:lineRule="auto"/>
      </w:pPr>
      <w:r>
        <w:rPr>
          <w:rFonts w:eastAsia="georgia" w:cs="georgia" w:ascii="georgia" w:hAnsi="georgia"/>
          <w:b/>
          <w:color w:val="000000"/>
          <w:sz w:val="21"/>
        </w:rPr>
        <w:t xml:space="preserve">GLP‑1 receptor activation</w:t>
      </w:r>
    </w:p>
    <w:p>
      <w:pPr>
        <w:numPr>
          <w:ilvl w:val="1"/>
          <w:numId w:val="4"/>
        </w:numPr>
        <w:spacing w:line="360" w:before="105" w:after="105" w:lineRule="auto"/>
      </w:pPr>
      <w:r>
        <w:rPr>
          <w:rFonts w:eastAsia="georgia" w:cs="georgia" w:ascii="georgia" w:hAnsi="georgia"/>
          <w:color w:val="000000"/>
          <w:sz w:val="21"/>
        </w:rPr>
        <w:t xml:space="preserve">Reduces appetite and food intake via central nervous system pathways.</w:t>
      </w:r>
    </w:p>
    <w:p>
      <w:pPr>
        <w:numPr>
          <w:ilvl w:val="1"/>
          <w:numId w:val="4"/>
        </w:numPr>
        <w:spacing w:line="360" w:before="105" w:after="105" w:lineRule="auto"/>
      </w:pPr>
      <w:r>
        <w:rPr>
          <w:rFonts w:eastAsia="georgia" w:cs="georgia" w:ascii="georgia" w:hAnsi="georgia"/>
          <w:color w:val="000000"/>
          <w:sz w:val="21"/>
        </w:rPr>
        <w:t xml:space="preserve">Slows gastric emptying, contributing to satiety.</w:t>
      </w:r>
    </w:p>
    <w:p>
      <w:pPr>
        <w:numPr>
          <w:ilvl w:val="1"/>
          <w:numId w:val="4"/>
        </w:numPr>
        <w:spacing w:line="360" w:before="105" w:after="105" w:lineRule="auto"/>
      </w:pPr>
      <w:r>
        <w:rPr>
          <w:rFonts w:eastAsia="georgia" w:cs="georgia" w:ascii="georgia" w:hAnsi="georgia"/>
          <w:color w:val="000000"/>
          <w:sz w:val="21"/>
        </w:rPr>
        <w:t xml:space="preserve">Enhances glucose‑dependent insulin secretion and suppresses glucagon under hyperglycemic conditions.</w:t>
      </w:r>
    </w:p>
    <w:p>
      <w:pPr>
        <w:numPr>
          <w:ilvl w:val="0"/>
          <w:numId w:val="4"/>
        </w:numPr>
        <w:spacing w:line="360" w:after="210" w:lineRule="auto"/>
      </w:pPr>
      <w:r>
        <w:rPr>
          <w:rFonts w:eastAsia="georgia" w:cs="georgia" w:ascii="georgia" w:hAnsi="georgia"/>
          <w:b/>
          <w:color w:val="000000"/>
          <w:sz w:val="21"/>
        </w:rPr>
        <w:t xml:space="preserve">GIP receptor activation</w:t>
      </w:r>
    </w:p>
    <w:p>
      <w:pPr>
        <w:numPr>
          <w:ilvl w:val="1"/>
          <w:numId w:val="4"/>
        </w:numPr>
        <w:spacing w:line="360" w:before="105" w:after="105" w:lineRule="auto"/>
      </w:pPr>
      <w:r>
        <w:rPr>
          <w:rFonts w:eastAsia="georgia" w:cs="georgia" w:ascii="georgia" w:hAnsi="georgia"/>
          <w:color w:val="000000"/>
          <w:sz w:val="21"/>
        </w:rPr>
        <w:t xml:space="preserve">Further supports insulin release in response to nutrient intake.</w:t>
      </w:r>
    </w:p>
    <w:p>
      <w:pPr>
        <w:numPr>
          <w:ilvl w:val="1"/>
          <w:numId w:val="4"/>
        </w:numPr>
        <w:spacing w:line="360" w:before="105" w:after="105" w:lineRule="auto"/>
      </w:pPr>
      <w:r>
        <w:rPr>
          <w:rFonts w:eastAsia="georgia" w:cs="georgia" w:ascii="georgia" w:hAnsi="georgia"/>
          <w:color w:val="000000"/>
          <w:sz w:val="21"/>
        </w:rPr>
        <w:t xml:space="preserve">Influences adipocyte biology and fat metabolism in peripheral tissues.</w:t>
      </w:r>
    </w:p>
    <w:p>
      <w:pPr>
        <w:numPr>
          <w:ilvl w:val="0"/>
          <w:numId w:val="4"/>
        </w:numPr>
        <w:spacing w:line="360" w:after="210" w:lineRule="auto"/>
      </w:pPr>
      <w:r>
        <w:rPr>
          <w:rFonts w:eastAsia="georgia" w:cs="georgia" w:ascii="georgia" w:hAnsi="georgia"/>
          <w:b/>
          <w:color w:val="000000"/>
          <w:sz w:val="21"/>
        </w:rPr>
        <w:t xml:space="preserve">Glucagon receptor activation</w:t>
      </w:r>
    </w:p>
    <w:p>
      <w:pPr>
        <w:numPr>
          <w:ilvl w:val="1"/>
          <w:numId w:val="4"/>
        </w:numPr>
        <w:spacing w:line="360" w:before="105" w:after="105" w:lineRule="auto"/>
      </w:pPr>
      <w:r>
        <w:rPr>
          <w:rFonts w:eastAsia="georgia" w:cs="georgia" w:ascii="georgia" w:hAnsi="georgia"/>
          <w:color w:val="000000"/>
          <w:sz w:val="21"/>
        </w:rPr>
        <w:t xml:space="preserve">Increases energy expenditure and resting metabolic rate.</w:t>
      </w:r>
    </w:p>
    <w:p>
      <w:pPr>
        <w:numPr>
          <w:ilvl w:val="1"/>
          <w:numId w:val="4"/>
        </w:numPr>
        <w:spacing w:line="360" w:before="105" w:after="105" w:lineRule="auto"/>
      </w:pPr>
      <w:r>
        <w:rPr>
          <w:rFonts w:eastAsia="georgia" w:cs="georgia" w:ascii="georgia" w:hAnsi="georgia"/>
          <w:color w:val="000000"/>
          <w:sz w:val="21"/>
        </w:rPr>
        <w:t xml:space="preserve">Promotes hepatic glycogen breakdown, fat oxidation, and lipolysis when appropriately balanced.[conversation_history:1]</w:t>
      </w:r>
    </w:p>
    <w:p>
      <w:pPr>
        <w:spacing w:line="360" w:after="210" w:lineRule="auto"/>
      </w:pPr>
      <w:r>
        <w:rPr>
          <w:rFonts w:eastAsia="georgia" w:cs="georgia" w:ascii="georgia" w:hAnsi="georgia"/>
          <w:color w:val="000000"/>
        </w:rPr>
        <w:t xml:space="preserve">In combination, this triple action has produced robust reductions in body weight and improvements in glycemic parameters in controlled phase 2 and phase 3 research programs, providing a rich dataset for mechanistic and translational investigations.[conversation_history:1]</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8" w:name="key_research_themes"/>
      <w:r>
        <w:rPr>
          <w:rFonts w:eastAsia="georgia" w:cs="georgia" w:ascii="georgia" w:hAnsi="georgia"/>
          <w:b/>
          <w:color w:val="000000"/>
          <w:sz w:val="24"/>
        </w:rPr>
        <w:t xml:space="preserve">Key research themes</w:t>
      </w:r>
      <w:bookmarkEnd w:id="8"/>
    </w:p>
    <w:p>
      <w:pPr>
        <w:spacing w:line="360" w:before="315" w:after="105" w:lineRule="auto"/>
        <w:ind w:left="-30"/>
        <w:jc w:val="left"/>
      </w:pPr>
      <w:bookmarkStart w:id="9" w:name="bm_1_obesity_and_body_weight_regulation"/>
      <w:r>
        <w:rPr>
          <w:rFonts w:eastAsia="georgia" w:cs="georgia" w:ascii="georgia" w:hAnsi="georgia"/>
          <w:b/>
          <w:color w:val="000000"/>
          <w:sz w:val="24"/>
        </w:rPr>
        <w:t xml:space="preserve">1. Obesity and body‑weight regulation</w:t>
      </w:r>
      <w:bookmarkEnd w:id="9"/>
    </w:p>
    <w:p>
      <w:pPr>
        <w:spacing w:line="360" w:after="210" w:lineRule="auto"/>
      </w:pPr>
      <w:r>
        <w:rPr>
          <w:rFonts w:eastAsia="georgia" w:cs="georgia" w:ascii="georgia" w:hAnsi="georgia"/>
          <w:color w:val="000000"/>
        </w:rPr>
        <w:t xml:space="preserve">A major focus of retatrutide research is its impact on body weight and adiposity in obese and overweight populations.[conversation_history:1]</w:t>
      </w:r>
    </w:p>
    <w:p>
      <w:pPr>
        <w:spacing w:line="360" w:after="210" w:lineRule="auto"/>
      </w:pPr>
      <w:r>
        <w:rPr>
          <w:rFonts w:eastAsia="georgia" w:cs="georgia" w:ascii="georgia" w:hAnsi="georgia"/>
          <w:color w:val="000000"/>
        </w:rPr>
        <w:t xml:space="preserve">Phase 2 clinical data have reported:</w:t>
      </w:r>
    </w:p>
    <w:p>
      <w:pPr>
        <w:numPr>
          <w:ilvl w:val="0"/>
          <w:numId w:val="5"/>
        </w:numPr>
        <w:spacing w:line="360" w:before="105" w:after="105" w:lineRule="auto"/>
      </w:pPr>
      <w:r>
        <w:rPr>
          <w:rFonts w:eastAsia="georgia" w:cs="georgia" w:ascii="georgia" w:hAnsi="georgia"/>
          <w:color w:val="000000"/>
          <w:sz w:val="21"/>
        </w:rPr>
        <w:t xml:space="preserve">Dose‑dependent, clinically relevant body‑weight reductions with once‑weekly administration.</w:t>
      </w:r>
    </w:p>
    <w:p>
      <w:pPr>
        <w:numPr>
          <w:ilvl w:val="0"/>
          <w:numId w:val="5"/>
        </w:numPr>
        <w:spacing w:line="360" w:before="105" w:after="105" w:lineRule="auto"/>
      </w:pPr>
      <w:r>
        <w:rPr>
          <w:rFonts w:eastAsia="georgia" w:cs="georgia" w:ascii="georgia" w:hAnsi="georgia"/>
          <w:color w:val="000000"/>
          <w:sz w:val="21"/>
        </w:rPr>
        <w:t xml:space="preserve">A substantial proportion of participants achieving ≥ 10%, 15%, and higher percentages of weight loss over 48 weeks in higher‑dose arms compared with placebo.[conversation_history:1]</w:t>
      </w:r>
    </w:p>
    <w:p>
      <w:pPr>
        <w:spacing w:line="360" w:after="210" w:lineRule="auto"/>
      </w:pPr>
      <w:r>
        <w:rPr>
          <w:rFonts w:eastAsia="georgia" w:cs="georgia" w:ascii="georgia" w:hAnsi="georgia"/>
          <w:color w:val="000000"/>
        </w:rPr>
        <w:t xml:space="preserve">These findings make retatrutide a benchmark compound for understanding how triple‑incretin agonism affects long‑term energy balance and adipose tissue biology.</w:t>
      </w:r>
    </w:p>
    <w:p>
      <w:pPr>
        <w:spacing w:line="360" w:before="315" w:after="105" w:lineRule="auto"/>
        <w:ind w:left="-30"/>
        <w:jc w:val="left"/>
      </w:pPr>
      <w:bookmarkStart w:id="10" w:name="bm_2_glycemic_control_and_type_2_8e1ee6"/>
      <w:r>
        <w:rPr>
          <w:rFonts w:eastAsia="georgia" w:cs="georgia" w:ascii="georgia" w:hAnsi="georgia"/>
          <w:b/>
          <w:color w:val="000000"/>
          <w:sz w:val="24"/>
        </w:rPr>
        <w:t xml:space="preserve">2. Glycemic control and type 2 diabetes research</w:t>
      </w:r>
      <w:bookmarkEnd w:id="10"/>
    </w:p>
    <w:p>
      <w:pPr>
        <w:spacing w:line="360" w:after="210" w:lineRule="auto"/>
      </w:pPr>
      <w:r>
        <w:rPr>
          <w:rFonts w:eastAsia="georgia" w:cs="georgia" w:ascii="georgia" w:hAnsi="georgia"/>
          <w:color w:val="000000"/>
        </w:rPr>
        <w:t xml:space="preserve">Retatrutide has been investigated in type 2 diabetes research settings for its effects on glycemic control.[conversation_history:1]</w:t>
      </w:r>
    </w:p>
    <w:p>
      <w:pPr>
        <w:spacing w:line="360" w:after="210" w:lineRule="auto"/>
      </w:pPr>
      <w:r>
        <w:rPr>
          <w:rFonts w:eastAsia="georgia" w:cs="georgia" w:ascii="georgia" w:hAnsi="georgia"/>
          <w:color w:val="000000"/>
        </w:rPr>
        <w:t xml:space="preserve">Study themes include:</w:t>
      </w:r>
    </w:p>
    <w:p>
      <w:pPr>
        <w:numPr>
          <w:ilvl w:val="0"/>
          <w:numId w:val="6"/>
        </w:numPr>
        <w:spacing w:line="360" w:before="105" w:after="105" w:lineRule="auto"/>
      </w:pPr>
      <w:r>
        <w:rPr>
          <w:rFonts w:eastAsia="georgia" w:cs="georgia" w:ascii="georgia" w:hAnsi="georgia"/>
          <w:color w:val="000000"/>
          <w:sz w:val="21"/>
        </w:rPr>
        <w:t xml:space="preserve">Changes in HbA1c (with reported reductions on the order of about 2 percentage points in some phase 2 cohorts).</w:t>
      </w:r>
    </w:p>
    <w:p>
      <w:pPr>
        <w:numPr>
          <w:ilvl w:val="0"/>
          <w:numId w:val="6"/>
        </w:numPr>
        <w:spacing w:line="360" w:before="105" w:after="105" w:lineRule="auto"/>
      </w:pPr>
      <w:r>
        <w:rPr>
          <w:rFonts w:eastAsia="georgia" w:cs="georgia" w:ascii="georgia" w:hAnsi="georgia"/>
          <w:color w:val="000000"/>
          <w:sz w:val="21"/>
        </w:rPr>
        <w:t xml:space="preserve">Effects on fasting glucose, post‑prandial glucose excursions, and insulin sensitivity.</w:t>
      </w:r>
    </w:p>
    <w:p>
      <w:pPr>
        <w:numPr>
          <w:ilvl w:val="0"/>
          <w:numId w:val="6"/>
        </w:numPr>
        <w:spacing w:line="360" w:before="105" w:after="105" w:lineRule="auto"/>
      </w:pPr>
      <w:r>
        <w:rPr>
          <w:rFonts w:eastAsia="georgia" w:cs="georgia" w:ascii="georgia" w:hAnsi="georgia"/>
          <w:color w:val="000000"/>
          <w:sz w:val="21"/>
        </w:rPr>
        <w:t xml:space="preserve">Comparisons with single‑ or dual‑pathway incretin agonists in terms of combined glucose and weight outcomes.</w:t>
      </w:r>
    </w:p>
    <w:p>
      <w:pPr>
        <w:spacing w:line="360" w:after="210" w:lineRule="auto"/>
      </w:pPr>
      <w:r>
        <w:rPr>
          <w:rFonts w:eastAsia="georgia" w:cs="georgia" w:ascii="georgia" w:hAnsi="georgia"/>
          <w:color w:val="000000"/>
        </w:rPr>
        <w:t xml:space="preserve">These data support mechanistic work on how triple‑agonist signalling influences pancreatic function and systemic glucose homeostasis.</w:t>
      </w:r>
    </w:p>
    <w:p>
      <w:pPr>
        <w:spacing w:line="360" w:before="315" w:after="105" w:lineRule="auto"/>
        <w:ind w:left="-30"/>
        <w:jc w:val="left"/>
      </w:pPr>
      <w:bookmarkStart w:id="11" w:name="bm_3_liver_fat_nafld_and_mash_models"/>
      <w:r>
        <w:rPr>
          <w:rFonts w:eastAsia="georgia" w:cs="georgia" w:ascii="georgia" w:hAnsi="georgia"/>
          <w:b/>
          <w:color w:val="000000"/>
          <w:sz w:val="24"/>
        </w:rPr>
        <w:t xml:space="preserve">3. Liver fat, NAFLD, and MASH models</w:t>
      </w:r>
      <w:bookmarkEnd w:id="11"/>
    </w:p>
    <w:p>
      <w:pPr>
        <w:spacing w:line="360" w:after="210" w:lineRule="auto"/>
      </w:pPr>
      <w:r>
        <w:rPr>
          <w:rFonts w:eastAsia="georgia" w:cs="georgia" w:ascii="georgia" w:hAnsi="georgia"/>
          <w:color w:val="000000"/>
        </w:rPr>
        <w:t xml:space="preserve">Because metabolic dysfunction often includes hepatic steatosis, retatrutide is being studied in the context of NAFLD and metabolic dysfunction–associated steatohepatitis (MASH).[conversation_history:1]</w:t>
      </w:r>
    </w:p>
    <w:p>
      <w:pPr>
        <w:spacing w:line="360" w:after="210" w:lineRule="auto"/>
      </w:pPr>
      <w:r>
        <w:rPr>
          <w:rFonts w:eastAsia="georgia" w:cs="georgia" w:ascii="georgia" w:hAnsi="georgia"/>
          <w:color w:val="000000"/>
        </w:rPr>
        <w:t xml:space="preserve">Reported research areas:</w:t>
      </w:r>
    </w:p>
    <w:p>
      <w:pPr>
        <w:numPr>
          <w:ilvl w:val="0"/>
          <w:numId w:val="7"/>
        </w:numPr>
        <w:spacing w:line="360" w:before="105" w:after="105" w:lineRule="auto"/>
      </w:pPr>
      <w:r>
        <w:rPr>
          <w:rFonts w:eastAsia="georgia" w:cs="georgia" w:ascii="georgia" w:hAnsi="georgia"/>
          <w:color w:val="000000"/>
          <w:sz w:val="21"/>
        </w:rPr>
        <w:t xml:space="preserve">Changes in liver fat content measured by imaging‑based modalities.</w:t>
      </w:r>
    </w:p>
    <w:p>
      <w:pPr>
        <w:numPr>
          <w:ilvl w:val="0"/>
          <w:numId w:val="7"/>
        </w:numPr>
        <w:spacing w:line="360" w:before="105" w:after="105" w:lineRule="auto"/>
      </w:pPr>
      <w:r>
        <w:rPr>
          <w:rFonts w:eastAsia="georgia" w:cs="georgia" w:ascii="georgia" w:hAnsi="georgia"/>
          <w:color w:val="000000"/>
          <w:sz w:val="21"/>
        </w:rPr>
        <w:t xml:space="preserve">Proportions of participants with elevated baseline hepatic fat who return to the normal range under triple‑agonist exposure.</w:t>
      </w:r>
    </w:p>
    <w:p>
      <w:pPr>
        <w:numPr>
          <w:ilvl w:val="0"/>
          <w:numId w:val="7"/>
        </w:numPr>
        <w:spacing w:line="360" w:before="105" w:after="105" w:lineRule="auto"/>
      </w:pPr>
      <w:r>
        <w:rPr>
          <w:rFonts w:eastAsia="georgia" w:cs="georgia" w:ascii="georgia" w:hAnsi="georgia"/>
          <w:color w:val="000000"/>
          <w:sz w:val="21"/>
        </w:rPr>
        <w:t xml:space="preserve">Relationships between liver fat reduction, weight loss, and improvements in metabolic syndrome markers.</w:t>
      </w:r>
    </w:p>
    <w:p>
      <w:pPr>
        <w:spacing w:line="360" w:after="210" w:lineRule="auto"/>
      </w:pPr>
      <w:r>
        <w:rPr>
          <w:rFonts w:eastAsia="georgia" w:cs="georgia" w:ascii="georgia" w:hAnsi="georgia"/>
          <w:color w:val="000000"/>
        </w:rPr>
        <w:t xml:space="preserve">These findings provide a framework for detailed mechanistic studies of liver‑fat metabolism under multi‑receptor incretin/glucagon stimulation.</w:t>
      </w:r>
    </w:p>
    <w:p>
      <w:pPr>
        <w:spacing w:line="360" w:before="315" w:after="105" w:lineRule="auto"/>
        <w:ind w:left="-30"/>
        <w:jc w:val="left"/>
      </w:pPr>
      <w:bookmarkStart w:id="12" w:name="bm_4_cardiometabolic_risk_markers"/>
      <w:r>
        <w:rPr>
          <w:rFonts w:eastAsia="georgia" w:cs="georgia" w:ascii="georgia" w:hAnsi="georgia"/>
          <w:b/>
          <w:color w:val="000000"/>
          <w:sz w:val="24"/>
        </w:rPr>
        <w:t xml:space="preserve">4. Cardiometabolic risk markers</w:t>
      </w:r>
      <w:bookmarkEnd w:id="12"/>
    </w:p>
    <w:p>
      <w:pPr>
        <w:spacing w:line="360" w:after="210" w:lineRule="auto"/>
      </w:pPr>
      <w:r>
        <w:rPr>
          <w:rFonts w:eastAsia="georgia" w:cs="georgia" w:ascii="georgia" w:hAnsi="georgia"/>
          <w:color w:val="000000"/>
        </w:rPr>
        <w:t xml:space="preserve">In addition to weight and glycemia, retatrutide research explores broader cardiometabolic endpoints:</w:t>
      </w:r>
    </w:p>
    <w:p>
      <w:pPr>
        <w:numPr>
          <w:ilvl w:val="0"/>
          <w:numId w:val="8"/>
        </w:numPr>
        <w:spacing w:line="360" w:before="105" w:after="105" w:lineRule="auto"/>
      </w:pPr>
      <w:r>
        <w:rPr>
          <w:rFonts w:eastAsia="georgia" w:cs="georgia" w:ascii="georgia" w:hAnsi="georgia"/>
          <w:color w:val="000000"/>
          <w:sz w:val="21"/>
        </w:rPr>
        <w:t xml:space="preserve">Changes in lipid panels (triglycerides, LDL‑C, HDL‑C, non‑HDL‑C).</w:t>
      </w:r>
    </w:p>
    <w:p>
      <w:pPr>
        <w:numPr>
          <w:ilvl w:val="0"/>
          <w:numId w:val="8"/>
        </w:numPr>
        <w:spacing w:line="360" w:before="105" w:after="105" w:lineRule="auto"/>
      </w:pPr>
      <w:r>
        <w:rPr>
          <w:rFonts w:eastAsia="georgia" w:cs="georgia" w:ascii="georgia" w:hAnsi="georgia"/>
          <w:color w:val="000000"/>
          <w:sz w:val="21"/>
        </w:rPr>
        <w:t xml:space="preserve">Effects on blood pressure and waist circumference.</w:t>
      </w:r>
    </w:p>
    <w:p>
      <w:pPr>
        <w:numPr>
          <w:ilvl w:val="0"/>
          <w:numId w:val="8"/>
        </w:numPr>
        <w:spacing w:line="360" w:before="105" w:after="105" w:lineRule="auto"/>
      </w:pPr>
      <w:r>
        <w:rPr>
          <w:rFonts w:eastAsia="georgia" w:cs="georgia" w:ascii="georgia" w:hAnsi="georgia"/>
          <w:color w:val="000000"/>
          <w:sz w:val="21"/>
        </w:rPr>
        <w:t xml:space="preserve">Exploratory endpoints related to systemic inflammation and cardiovascular risk scores.[conversation_history:1]</w:t>
      </w:r>
    </w:p>
    <w:p>
      <w:pPr>
        <w:spacing w:line="360" w:after="210" w:lineRule="auto"/>
      </w:pPr>
      <w:r>
        <w:rPr>
          <w:rFonts w:eastAsia="georgia" w:cs="georgia" w:ascii="georgia" w:hAnsi="georgia"/>
          <w:color w:val="000000"/>
        </w:rPr>
        <w:t xml:space="preserve">This makes retatrutide a useful model compound for integrated cardiometabolic risk‑reduction research.</w:t>
      </w:r>
    </w:p>
    <w:p>
      <w:pPr>
        <w:spacing w:line="360" w:before="315" w:after="105" w:lineRule="auto"/>
        <w:ind w:left="-30"/>
        <w:jc w:val="left"/>
      </w:pPr>
      <w:bookmarkStart w:id="13" w:name="bm_5_musculoskeletal_kidney_and_o_f5a4cc"/>
      <w:r>
        <w:rPr>
          <w:rFonts w:eastAsia="georgia" w:cs="georgia" w:ascii="georgia" w:hAnsi="georgia"/>
          <w:b/>
          <w:color w:val="000000"/>
          <w:sz w:val="24"/>
        </w:rPr>
        <w:t xml:space="preserve">5. Musculoskeletal, kidney, and other endpoints</w:t>
      </w:r>
      <w:bookmarkEnd w:id="13"/>
    </w:p>
    <w:p>
      <w:pPr>
        <w:spacing w:line="360" w:after="210" w:lineRule="auto"/>
      </w:pPr>
      <w:r>
        <w:rPr>
          <w:rFonts w:eastAsia="georgia" w:cs="georgia" w:ascii="georgia" w:hAnsi="georgia"/>
          <w:color w:val="000000"/>
        </w:rPr>
        <w:t xml:space="preserve">Phase 3 development programs (TRIUMPH and related trials) include investigations into:</w:t>
      </w:r>
    </w:p>
    <w:p>
      <w:pPr>
        <w:numPr>
          <w:ilvl w:val="0"/>
          <w:numId w:val="9"/>
        </w:numPr>
        <w:spacing w:line="360" w:before="105" w:after="105" w:lineRule="auto"/>
      </w:pPr>
      <w:r>
        <w:rPr>
          <w:rFonts w:eastAsia="georgia" w:cs="georgia" w:ascii="georgia" w:hAnsi="georgia"/>
          <w:color w:val="000000"/>
          <w:sz w:val="21"/>
        </w:rPr>
        <w:t xml:space="preserve">Weight‑related osteoarthritis outcomes (for example, knee pain and function).</w:t>
      </w:r>
    </w:p>
    <w:p>
      <w:pPr>
        <w:numPr>
          <w:ilvl w:val="0"/>
          <w:numId w:val="9"/>
        </w:numPr>
        <w:spacing w:line="360" w:before="105" w:after="105" w:lineRule="auto"/>
      </w:pPr>
      <w:r>
        <w:rPr>
          <w:rFonts w:eastAsia="georgia" w:cs="georgia" w:ascii="georgia" w:hAnsi="georgia"/>
          <w:color w:val="000000"/>
          <w:sz w:val="21"/>
        </w:rPr>
        <w:t xml:space="preserve">Kidney function and markers of obesity‑related renal stress.</w:t>
      </w:r>
    </w:p>
    <w:p>
      <w:pPr>
        <w:numPr>
          <w:ilvl w:val="0"/>
          <w:numId w:val="9"/>
        </w:numPr>
        <w:spacing w:line="360" w:before="105" w:after="105" w:lineRule="auto"/>
      </w:pPr>
      <w:r>
        <w:rPr>
          <w:rFonts w:eastAsia="georgia" w:cs="georgia" w:ascii="georgia" w:hAnsi="georgia"/>
          <w:color w:val="000000"/>
          <w:sz w:val="21"/>
        </w:rPr>
        <w:t xml:space="preserve">Longer‑term safety, tolerability, and durability of effect.[conversation_history:1]</w:t>
      </w:r>
    </w:p>
    <w:p>
      <w:pPr>
        <w:spacing w:line="360" w:after="210" w:lineRule="auto"/>
      </w:pPr>
      <w:r>
        <w:rPr>
          <w:rFonts w:eastAsia="georgia" w:cs="georgia" w:ascii="georgia" w:hAnsi="georgia"/>
          <w:color w:val="000000"/>
        </w:rPr>
        <w:t xml:space="preserve">These data sets are still emerging and are primarily hypothesis‑generating for additional mechanistic work.</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4" w:name="handling_reconstitution_and_storage"/>
      <w:r>
        <w:rPr>
          <w:rFonts w:eastAsia="georgia" w:cs="georgia" w:ascii="georgia" w:hAnsi="georgia"/>
          <w:b/>
          <w:color w:val="000000"/>
          <w:sz w:val="24"/>
        </w:rPr>
        <w:t xml:space="preserve">Handling, reconstitution, and storage</w:t>
      </w:r>
      <w:bookmarkEnd w:id="14"/>
    </w:p>
    <w:p>
      <w:pPr>
        <w:spacing w:line="360" w:before="315" w:after="105" w:lineRule="auto"/>
        <w:ind w:left="-30"/>
        <w:jc w:val="left"/>
      </w:pPr>
      <w:bookmarkStart w:id="15" w:name="powder_handling"/>
      <w:r>
        <w:rPr>
          <w:rFonts w:eastAsia="georgia" w:cs="georgia" w:ascii="georgia" w:hAnsi="georgia"/>
          <w:b/>
          <w:color w:val="000000"/>
          <w:sz w:val="24"/>
        </w:rPr>
        <w:t xml:space="preserve">Powder handling</w:t>
      </w:r>
      <w:bookmarkEnd w:id="15"/>
    </w:p>
    <w:p>
      <w:pPr>
        <w:numPr>
          <w:ilvl w:val="0"/>
          <w:numId w:val="10"/>
        </w:numPr>
        <w:spacing w:line="360" w:before="105" w:after="105" w:lineRule="auto"/>
      </w:pPr>
      <w:r>
        <w:rPr>
          <w:rFonts w:eastAsia="georgia" w:cs="georgia" w:ascii="georgia" w:hAnsi="georgia"/>
          <w:color w:val="000000"/>
          <w:sz w:val="21"/>
        </w:rPr>
        <w:t xml:space="preserve">Store lyophilized retatrutide at approximately −20 °C in a cool, dry place, protected from light.</w:t>
      </w:r>
    </w:p>
    <w:p>
      <w:pPr>
        <w:numPr>
          <w:ilvl w:val="0"/>
          <w:numId w:val="10"/>
        </w:numPr>
        <w:spacing w:line="360" w:before="105" w:after="105" w:lineRule="auto"/>
      </w:pPr>
      <w:r>
        <w:rPr>
          <w:rFonts w:eastAsia="georgia" w:cs="georgia" w:ascii="georgia" w:hAnsi="georgia"/>
          <w:color w:val="000000"/>
          <w:sz w:val="21"/>
        </w:rPr>
        <w:t xml:space="preserve">For short‑term storage in some supplier guidelines, room‑temperature storage away from direct sunlight may be acceptable; always follow the storage conditions on the product label and COA.[conversation_history:1]</w:t>
      </w:r>
    </w:p>
    <w:p>
      <w:pPr>
        <w:numPr>
          <w:ilvl w:val="0"/>
          <w:numId w:val="10"/>
        </w:numPr>
        <w:spacing w:line="360" w:before="105" w:after="105" w:lineRule="auto"/>
      </w:pPr>
      <w:r>
        <w:rPr>
          <w:rFonts w:eastAsia="georgia" w:cs="georgia" w:ascii="georgia" w:hAnsi="georgia"/>
          <w:color w:val="000000"/>
          <w:sz w:val="21"/>
        </w:rPr>
        <w:t xml:space="preserve">Keep vials tightly sealed until use and out of reach of unauthorized personnel.</w:t>
      </w:r>
    </w:p>
    <w:p>
      <w:pPr>
        <w:spacing w:line="360" w:before="315" w:after="105" w:lineRule="auto"/>
        <w:ind w:left="-30"/>
        <w:jc w:val="left"/>
      </w:pPr>
      <w:bookmarkStart w:id="16" w:name="reconstitution"/>
      <w:r>
        <w:rPr>
          <w:rFonts w:eastAsia="georgia" w:cs="georgia" w:ascii="georgia" w:hAnsi="georgia"/>
          <w:b/>
          <w:color w:val="000000"/>
          <w:sz w:val="24"/>
        </w:rPr>
        <w:t xml:space="preserve">Reconstitution</w:t>
      </w:r>
      <w:bookmarkEnd w:id="16"/>
    </w:p>
    <w:p>
      <w:pPr>
        <w:numPr>
          <w:ilvl w:val="0"/>
          <w:numId w:val="11"/>
        </w:numPr>
        <w:spacing w:line="360" w:before="105" w:after="105" w:lineRule="auto"/>
      </w:pPr>
      <w:r>
        <w:rPr>
          <w:rFonts w:eastAsia="georgia" w:cs="georgia" w:ascii="georgia" w:hAnsi="georgia"/>
          <w:color w:val="000000"/>
          <w:sz w:val="21"/>
        </w:rPr>
        <w:t xml:space="preserve">Reconstitute using an appropriate sterile solvent such as bacteriostatic water or other buffer compatible with the intended assay.</w:t>
      </w:r>
    </w:p>
    <w:p>
      <w:pPr>
        <w:numPr>
          <w:ilvl w:val="0"/>
          <w:numId w:val="11"/>
        </w:numPr>
        <w:spacing w:line="360" w:before="105" w:after="105" w:lineRule="auto"/>
      </w:pPr>
      <w:r>
        <w:rPr>
          <w:rFonts w:eastAsia="georgia" w:cs="georgia" w:ascii="georgia" w:hAnsi="georgia"/>
          <w:color w:val="000000"/>
          <w:sz w:val="21"/>
        </w:rPr>
        <w:t xml:space="preserve">Add solvent slowly along the inner wall of the vial and gently swirl or roll until fully dissolved; avoid vigorous shaking.</w:t>
      </w:r>
    </w:p>
    <w:p>
      <w:pPr>
        <w:numPr>
          <w:ilvl w:val="0"/>
          <w:numId w:val="11"/>
        </w:numPr>
        <w:spacing w:line="360" w:before="105" w:after="105" w:lineRule="auto"/>
      </w:pPr>
      <w:r>
        <w:rPr>
          <w:rFonts w:eastAsia="georgia" w:cs="georgia" w:ascii="georgia" w:hAnsi="georgia"/>
          <w:color w:val="000000"/>
          <w:sz w:val="21"/>
        </w:rPr>
        <w:t xml:space="preserve">Verify complete dissolution before use.</w:t>
      </w:r>
    </w:p>
    <w:p>
      <w:pPr>
        <w:spacing w:line="360" w:before="315" w:after="105" w:lineRule="auto"/>
        <w:ind w:left="-30"/>
        <w:jc w:val="left"/>
      </w:pPr>
      <w:bookmarkStart w:id="17" w:name="reconstituted_solution_storage"/>
      <w:r>
        <w:rPr>
          <w:rFonts w:eastAsia="georgia" w:cs="georgia" w:ascii="georgia" w:hAnsi="georgia"/>
          <w:b/>
          <w:color w:val="000000"/>
          <w:sz w:val="24"/>
        </w:rPr>
        <w:t xml:space="preserve">Reconstituted solution storage</w:t>
      </w:r>
      <w:bookmarkEnd w:id="17"/>
    </w:p>
    <w:p>
      <w:pPr>
        <w:numPr>
          <w:ilvl w:val="0"/>
          <w:numId w:val="12"/>
        </w:numPr>
        <w:spacing w:line="360" w:before="105" w:after="105" w:lineRule="auto"/>
      </w:pPr>
      <w:r>
        <w:rPr>
          <w:rFonts w:eastAsia="georgia" w:cs="georgia" w:ascii="georgia" w:hAnsi="georgia"/>
          <w:color w:val="000000"/>
          <w:sz w:val="21"/>
        </w:rPr>
        <w:t xml:space="preserve">Store reconstituted solutions in a refrigerator (typically 3–6 °C) as indicated by the supplier or internal stability studies.[conversation_history:1]</w:t>
      </w:r>
    </w:p>
    <w:p>
      <w:pPr>
        <w:numPr>
          <w:ilvl w:val="0"/>
          <w:numId w:val="12"/>
        </w:numPr>
        <w:spacing w:line="360" w:before="105" w:after="105" w:lineRule="auto"/>
      </w:pPr>
      <w:r>
        <w:rPr>
          <w:rFonts w:eastAsia="georgia" w:cs="georgia" w:ascii="georgia" w:hAnsi="georgia"/>
          <w:color w:val="000000"/>
          <w:sz w:val="21"/>
        </w:rPr>
        <w:t xml:space="preserve">Avoid repeated freeze–thaw cycles; prepare aliquots where possible.</w:t>
      </w:r>
    </w:p>
    <w:p>
      <w:pPr>
        <w:numPr>
          <w:ilvl w:val="0"/>
          <w:numId w:val="12"/>
        </w:numPr>
        <w:spacing w:line="360" w:before="105" w:after="105" w:lineRule="auto"/>
      </w:pPr>
      <w:r>
        <w:rPr>
          <w:rFonts w:eastAsia="georgia" w:cs="georgia" w:ascii="georgia" w:hAnsi="georgia"/>
          <w:color w:val="000000"/>
          <w:sz w:val="21"/>
        </w:rPr>
        <w:t xml:space="preserve">Use within the stability window established by your laboratory or as suggested in the technical documentation.</w:t>
      </w:r>
    </w:p>
    <w:p>
      <w:pPr>
        <w:spacing w:line="360" w:after="210" w:lineRule="auto"/>
      </w:pPr>
      <w:r>
        <w:rPr>
          <w:rFonts w:eastAsia="georgia" w:cs="georgia" w:ascii="georgia" w:hAnsi="georgia"/>
          <w:color w:val="000000"/>
        </w:rPr>
        <w:t xml:space="preserve">For detailed safety and handling information, consult the material safety data sheet (MSDS) and follow institutional chemical hygiene policies.[conversation_history:1]</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8" w:name="quality_purity_and_analytical_cha_7a98cc"/>
      <w:r>
        <w:rPr>
          <w:rFonts w:eastAsia="georgia" w:cs="georgia" w:ascii="georgia" w:hAnsi="georgia"/>
          <w:b/>
          <w:color w:val="000000"/>
          <w:sz w:val="24"/>
        </w:rPr>
        <w:t xml:space="preserve">Quality, purity, and analytical characterization</w:t>
      </w:r>
      <w:bookmarkEnd w:id="18"/>
    </w:p>
    <w:p>
      <w:pPr>
        <w:spacing w:line="360" w:after="210" w:lineRule="auto"/>
      </w:pPr>
      <w:r>
        <w:rPr>
          <w:rFonts w:eastAsia="georgia" w:cs="georgia" w:ascii="georgia" w:hAnsi="georgia"/>
          <w:color w:val="000000"/>
        </w:rPr>
        <w:t xml:space="preserve">Retatrutide supplied as a research reagent is typically characterized using standard peptide and protein analytical methods.</w:t>
      </w:r>
    </w:p>
    <w:p>
      <w:pPr>
        <w:spacing w:line="360" w:after="210" w:lineRule="auto"/>
      </w:pPr>
      <w:r>
        <w:rPr>
          <w:rFonts w:eastAsia="georgia" w:cs="georgia" w:ascii="georgia" w:hAnsi="georgia"/>
          <w:color w:val="000000"/>
        </w:rPr>
        <w:t xml:space="preserve">A representative research‑grade profile may include:</w:t>
      </w:r>
    </w:p>
    <w:p>
      <w:pPr>
        <w:numPr>
          <w:ilvl w:val="0"/>
          <w:numId w:val="13"/>
        </w:numPr>
        <w:spacing w:line="360" w:after="210" w:lineRule="auto"/>
      </w:pPr>
      <w:r>
        <w:rPr>
          <w:rFonts w:eastAsia="georgia" w:cs="georgia" w:ascii="georgia" w:hAnsi="georgia"/>
          <w:b/>
          <w:color w:val="000000"/>
          <w:sz w:val="21"/>
        </w:rPr>
        <w:t xml:space="preserve">Purity</w:t>
      </w:r>
    </w:p>
    <w:p>
      <w:pPr>
        <w:numPr>
          <w:ilvl w:val="1"/>
          <w:numId w:val="13"/>
        </w:numPr>
        <w:spacing w:line="360" w:before="105" w:after="105" w:lineRule="auto"/>
      </w:pPr>
      <w:r>
        <w:rPr>
          <w:rFonts w:eastAsia="georgia" w:cs="georgia" w:ascii="georgia" w:hAnsi="georgia"/>
          <w:color w:val="000000"/>
          <w:sz w:val="21"/>
        </w:rPr>
        <w:t xml:space="preserve">≥ 98–99% by HPLC‑MS, with full peak profiling.</w:t>
      </w:r>
    </w:p>
    <w:p>
      <w:pPr>
        <w:numPr>
          <w:ilvl w:val="1"/>
          <w:numId w:val="13"/>
        </w:numPr>
        <w:spacing w:line="360" w:before="105" w:after="105" w:lineRule="auto"/>
      </w:pPr>
      <w:r>
        <w:rPr>
          <w:rFonts w:eastAsia="georgia" w:cs="georgia" w:ascii="georgia" w:hAnsi="georgia"/>
          <w:color w:val="000000"/>
          <w:sz w:val="21"/>
        </w:rPr>
        <w:t xml:space="preserve">Verification of identity and related‑substance levels.[conversation_history:1]</w:t>
      </w:r>
    </w:p>
    <w:p>
      <w:pPr>
        <w:numPr>
          <w:ilvl w:val="0"/>
          <w:numId w:val="13"/>
        </w:numPr>
        <w:spacing w:line="360" w:after="210" w:lineRule="auto"/>
      </w:pPr>
      <w:r>
        <w:rPr>
          <w:rFonts w:eastAsia="georgia" w:cs="georgia" w:ascii="georgia" w:hAnsi="georgia"/>
          <w:b/>
          <w:color w:val="000000"/>
          <w:sz w:val="21"/>
        </w:rPr>
        <w:t xml:space="preserve">Identity and content</w:t>
      </w:r>
    </w:p>
    <w:p>
      <w:pPr>
        <w:numPr>
          <w:ilvl w:val="1"/>
          <w:numId w:val="13"/>
        </w:numPr>
        <w:spacing w:line="360" w:before="105" w:after="105" w:lineRule="auto"/>
      </w:pPr>
      <w:r>
        <w:rPr>
          <w:rFonts w:eastAsia="georgia" w:cs="georgia" w:ascii="georgia" w:hAnsi="georgia"/>
          <w:color w:val="000000"/>
          <w:sz w:val="21"/>
        </w:rPr>
        <w:t xml:space="preserve">Mass spectrometry confirming the expected mass range for the triple‑agonist peptide.</w:t>
      </w:r>
    </w:p>
    <w:p>
      <w:pPr>
        <w:numPr>
          <w:ilvl w:val="1"/>
          <w:numId w:val="13"/>
        </w:numPr>
        <w:spacing w:line="360" w:before="105" w:after="105" w:lineRule="auto"/>
      </w:pPr>
      <w:r>
        <w:rPr>
          <w:rFonts w:eastAsia="georgia" w:cs="georgia" w:ascii="georgia" w:hAnsi="georgia"/>
          <w:color w:val="000000"/>
          <w:sz w:val="21"/>
        </w:rPr>
        <w:t xml:space="preserve">Amino‑acid or peptide mapping methods, where applicable.</w:t>
      </w:r>
    </w:p>
    <w:p>
      <w:pPr>
        <w:numPr>
          <w:ilvl w:val="1"/>
          <w:numId w:val="13"/>
        </w:numPr>
        <w:spacing w:line="360" w:before="105" w:after="105" w:lineRule="auto"/>
      </w:pPr>
      <w:r>
        <w:rPr>
          <w:rFonts w:eastAsia="georgia" w:cs="georgia" w:ascii="georgia" w:hAnsi="georgia"/>
          <w:color w:val="000000"/>
          <w:sz w:val="21"/>
        </w:rPr>
        <w:t xml:space="preserve">Content assays estimating the amount of active peptide in the lyophilized material.</w:t>
      </w:r>
    </w:p>
    <w:p>
      <w:pPr>
        <w:numPr>
          <w:ilvl w:val="0"/>
          <w:numId w:val="13"/>
        </w:numPr>
        <w:spacing w:line="360" w:after="210" w:lineRule="auto"/>
      </w:pPr>
      <w:r>
        <w:rPr>
          <w:rFonts w:eastAsia="georgia" w:cs="georgia" w:ascii="georgia" w:hAnsi="georgia"/>
          <w:b/>
          <w:color w:val="000000"/>
          <w:sz w:val="21"/>
        </w:rPr>
        <w:t xml:space="preserve">Additional quality controls</w:t>
      </w:r>
    </w:p>
    <w:p>
      <w:pPr>
        <w:numPr>
          <w:ilvl w:val="1"/>
          <w:numId w:val="13"/>
        </w:numPr>
        <w:spacing w:line="360" w:before="105" w:after="105" w:lineRule="auto"/>
      </w:pPr>
      <w:r>
        <w:rPr>
          <w:rFonts w:eastAsia="georgia" w:cs="georgia" w:ascii="georgia" w:hAnsi="georgia"/>
          <w:color w:val="000000"/>
          <w:sz w:val="21"/>
        </w:rPr>
        <w:t xml:space="preserve">Microbial and endotoxin testing where specified.</w:t>
      </w:r>
    </w:p>
    <w:p>
      <w:pPr>
        <w:numPr>
          <w:ilvl w:val="1"/>
          <w:numId w:val="13"/>
        </w:numPr>
        <w:spacing w:line="360" w:before="105" w:after="105" w:lineRule="auto"/>
      </w:pPr>
      <w:r>
        <w:rPr>
          <w:rFonts w:eastAsia="georgia" w:cs="georgia" w:ascii="georgia" w:hAnsi="georgia"/>
          <w:color w:val="000000"/>
          <w:sz w:val="21"/>
        </w:rPr>
        <w:t xml:space="preserve">Assessment of residual solvents and water content.</w:t>
      </w:r>
    </w:p>
    <w:p>
      <w:pPr>
        <w:numPr>
          <w:ilvl w:val="1"/>
          <w:numId w:val="13"/>
        </w:numPr>
        <w:spacing w:line="360" w:before="105" w:after="105" w:lineRule="auto"/>
      </w:pPr>
      <w:r>
        <w:rPr>
          <w:rFonts w:eastAsia="georgia" w:cs="georgia" w:ascii="georgia" w:hAnsi="georgia"/>
          <w:color w:val="000000"/>
          <w:sz w:val="21"/>
        </w:rPr>
        <w:t xml:space="preserve">Stability data for recommended storage conditions.</w:t>
      </w:r>
    </w:p>
    <w:p>
      <w:pPr>
        <w:spacing w:line="360" w:after="210" w:lineRule="auto"/>
      </w:pPr>
      <w:r>
        <w:rPr>
          <w:rFonts w:eastAsia="georgia" w:cs="georgia" w:ascii="georgia" w:hAnsi="georgia"/>
          <w:color w:val="000000"/>
        </w:rPr>
        <w:t xml:space="preserve">Laboratories should always review the batch‑specific COA and supporting documentation supplied with each lot.[conversation_history:1]</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9" w:name="illustrative_research_usage_patte_84c903"/>
      <w:r>
        <w:rPr>
          <w:rFonts w:eastAsia="georgia" w:cs="georgia" w:ascii="georgia" w:hAnsi="georgia"/>
          <w:b/>
          <w:color w:val="000000"/>
          <w:sz w:val="24"/>
        </w:rPr>
        <w:t xml:space="preserve">Illustrative research usage patterns (non‑prescriptive)</w:t>
      </w:r>
      <w:bookmarkEnd w:id="19"/>
    </w:p>
    <w:p>
      <w:pPr>
        <w:spacing w:line="360" w:after="210" w:lineRule="auto"/>
      </w:pPr>
      <w:r>
        <w:rPr>
          <w:rFonts w:eastAsia="georgia" w:cs="georgia" w:ascii="georgia" w:hAnsi="georgia"/>
          <w:color w:val="000000"/>
        </w:rPr>
        <w:t xml:space="preserve">The scientific literature provides examples of how retatrutide has been used in experimental contexts; these examples are descriptive only.</w:t>
      </w:r>
    </w:p>
    <w:p>
      <w:pPr>
        <w:numPr>
          <w:ilvl w:val="0"/>
          <w:numId w:val="14"/>
        </w:numPr>
        <w:spacing w:line="360" w:after="210" w:lineRule="auto"/>
      </w:pPr>
      <w:r>
        <w:rPr>
          <w:rFonts w:eastAsia="georgia" w:cs="georgia" w:ascii="georgia" w:hAnsi="georgia"/>
          <w:b/>
          <w:color w:val="000000"/>
          <w:sz w:val="21"/>
        </w:rPr>
        <w:t xml:space="preserve">Metabolic and obesity research</w:t>
      </w:r>
    </w:p>
    <w:p>
      <w:pPr>
        <w:numPr>
          <w:ilvl w:val="1"/>
          <w:numId w:val="14"/>
        </w:numPr>
        <w:spacing w:line="360" w:before="105" w:after="105" w:lineRule="auto"/>
      </w:pPr>
      <w:r>
        <w:rPr>
          <w:rFonts w:eastAsia="georgia" w:cs="georgia" w:ascii="georgia" w:hAnsi="georgia"/>
          <w:color w:val="000000"/>
          <w:sz w:val="21"/>
        </w:rPr>
        <w:t xml:space="preserve">Once‑weekly administration in controlled trials to measure body weight, adiposity, waist circumference, and cardiometabolic markers over 24–68 weeks.[conversation_history:1]</w:t>
      </w:r>
    </w:p>
    <w:p>
      <w:pPr>
        <w:numPr>
          <w:ilvl w:val="0"/>
          <w:numId w:val="14"/>
        </w:numPr>
        <w:spacing w:line="360" w:after="210" w:lineRule="auto"/>
      </w:pPr>
      <w:r>
        <w:rPr>
          <w:rFonts w:eastAsia="georgia" w:cs="georgia" w:ascii="georgia" w:hAnsi="georgia"/>
          <w:b/>
          <w:color w:val="000000"/>
          <w:sz w:val="21"/>
        </w:rPr>
        <w:t xml:space="preserve">Glycemic and liver‑fat studies</w:t>
      </w:r>
    </w:p>
    <w:p>
      <w:pPr>
        <w:numPr>
          <w:ilvl w:val="1"/>
          <w:numId w:val="14"/>
        </w:numPr>
        <w:spacing w:line="360" w:before="105" w:after="105" w:lineRule="auto"/>
      </w:pPr>
      <w:r>
        <w:rPr>
          <w:rFonts w:eastAsia="georgia" w:cs="georgia" w:ascii="georgia" w:hAnsi="georgia"/>
          <w:color w:val="000000"/>
          <w:sz w:val="21"/>
        </w:rPr>
        <w:t xml:space="preserve">Use in cohorts with type 2 diabetes or elevated liver fat to investigate changes in HbA1c, fasting glucose, liver fat fraction, and NAFLD‑related biomarkers.[conversation_history:1]</w:t>
      </w:r>
    </w:p>
    <w:p>
      <w:pPr>
        <w:numPr>
          <w:ilvl w:val="0"/>
          <w:numId w:val="14"/>
        </w:numPr>
        <w:spacing w:line="360" w:after="210" w:lineRule="auto"/>
      </w:pPr>
      <w:r>
        <w:rPr>
          <w:rFonts w:eastAsia="georgia" w:cs="georgia" w:ascii="georgia" w:hAnsi="georgia"/>
          <w:b/>
          <w:color w:val="000000"/>
          <w:sz w:val="21"/>
        </w:rPr>
        <w:t xml:space="preserve">Mechanistic preclinical models</w:t>
      </w:r>
    </w:p>
    <w:p>
      <w:pPr>
        <w:numPr>
          <w:ilvl w:val="1"/>
          <w:numId w:val="14"/>
        </w:numPr>
        <w:spacing w:line="360" w:before="105" w:after="105" w:lineRule="auto"/>
      </w:pPr>
      <w:r>
        <w:rPr>
          <w:rFonts w:eastAsia="georgia" w:cs="georgia" w:ascii="georgia" w:hAnsi="georgia"/>
          <w:color w:val="000000"/>
          <w:sz w:val="21"/>
        </w:rPr>
        <w:t xml:space="preserve">Animal studies focusing on energy expenditure, thermogenesis, adipose tissue biology, and hepatic lipid metabolism under triple‑agonist exposure.</w:t>
      </w:r>
    </w:p>
    <w:p>
      <w:pPr>
        <w:spacing w:line="360" w:after="210" w:lineRule="auto"/>
      </w:pPr>
      <w:r>
        <w:rPr>
          <w:rFonts w:eastAsia="georgia" w:cs="georgia" w:ascii="georgia" w:hAnsi="georgia"/>
          <w:color w:val="000000"/>
        </w:rPr>
        <w:t xml:space="preserve">All protocol decisions, including dose ranges, duration, and monitoring, are the responsibility of the investigator and must follow applicable ethical and regulatory requirements.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0" w:name="why_this_description_fits_a_resea_1f2988"/>
      <w:r>
        <w:rPr>
          <w:rFonts w:eastAsia="georgia" w:cs="georgia" w:ascii="georgia" w:hAnsi="georgia"/>
          <w:b/>
          <w:color w:val="000000"/>
          <w:sz w:val="24"/>
        </w:rPr>
        <w:t xml:space="preserve">Why this description fits a research‑ecommerce product page</w:t>
      </w:r>
      <w:bookmarkEnd w:id="20"/>
    </w:p>
    <w:p>
      <w:pPr>
        <w:spacing w:line="360" w:after="210" w:lineRule="auto"/>
      </w:pPr>
      <w:r>
        <w:rPr>
          <w:rFonts w:eastAsia="georgia" w:cs="georgia" w:ascii="georgia" w:hAnsi="georgia"/>
          <w:color w:val="000000"/>
        </w:rPr>
        <w:t xml:space="preserve">For a research peptide catalog, buyers need clear technical information, an accurate view of the research context, and explicit research‑only positioning.</w:t>
      </w:r>
    </w:p>
    <w:p>
      <w:pPr>
        <w:spacing w:line="360" w:after="210" w:lineRule="auto"/>
      </w:pPr>
      <w:r>
        <w:rPr>
          <w:rFonts w:eastAsia="georgia" w:cs="georgia" w:ascii="georgia" w:hAnsi="georgia"/>
          <w:color w:val="000000"/>
        </w:rPr>
        <w:t xml:space="preserve">This description:</w:t>
      </w:r>
    </w:p>
    <w:p>
      <w:pPr>
        <w:numPr>
          <w:ilvl w:val="0"/>
          <w:numId w:val="15"/>
        </w:numPr>
        <w:spacing w:line="360" w:before="105" w:after="105" w:lineRule="auto"/>
      </w:pPr>
      <w:r>
        <w:rPr>
          <w:rFonts w:eastAsia="georgia" w:cs="georgia" w:ascii="georgia" w:hAnsi="georgia"/>
          <w:color w:val="000000"/>
          <w:sz w:val="21"/>
        </w:rPr>
        <w:t xml:space="preserve">Summarizes key product details (content, purity, storage, form) in a compact table.</w:t>
      </w:r>
    </w:p>
    <w:p>
      <w:pPr>
        <w:numPr>
          <w:ilvl w:val="0"/>
          <w:numId w:val="15"/>
        </w:numPr>
        <w:spacing w:line="360" w:before="105" w:after="105" w:lineRule="auto"/>
      </w:pPr>
      <w:r>
        <w:rPr>
          <w:rFonts w:eastAsia="georgia" w:cs="georgia" w:ascii="georgia" w:hAnsi="georgia"/>
          <w:color w:val="000000"/>
          <w:sz w:val="21"/>
        </w:rPr>
        <w:t xml:space="preserve">Explains retatrutide’s triple‑agonist mechanism and long‑acting profile in straightforward language without promotional phrasing.[conversation_history:1]</w:t>
      </w:r>
    </w:p>
    <w:p>
      <w:pPr>
        <w:numPr>
          <w:ilvl w:val="0"/>
          <w:numId w:val="15"/>
        </w:numPr>
        <w:spacing w:line="360" w:before="105" w:after="105" w:lineRule="auto"/>
      </w:pPr>
      <w:r>
        <w:rPr>
          <w:rFonts w:eastAsia="georgia" w:cs="georgia" w:ascii="georgia" w:hAnsi="georgia"/>
          <w:color w:val="000000"/>
          <w:sz w:val="21"/>
        </w:rPr>
        <w:t xml:space="preserve">Highlights major research themes—obesity, glycemic control, NAFLD/MASH, cardiometabolic risk, and emerging endpoints—based on published trial data.</w:t>
      </w:r>
    </w:p>
    <w:p>
      <w:pPr>
        <w:numPr>
          <w:ilvl w:val="0"/>
          <w:numId w:val="15"/>
        </w:numPr>
        <w:spacing w:line="360" w:before="105" w:after="105" w:lineRule="auto"/>
      </w:pPr>
      <w:r>
        <w:rPr>
          <w:rFonts w:eastAsia="georgia" w:cs="georgia" w:ascii="georgia" w:hAnsi="georgia"/>
          <w:color w:val="000000"/>
          <w:sz w:val="21"/>
        </w:rPr>
        <w:t xml:space="preserve">Provides practical handling, storage, and quality considerations that laboratories expect when evaluating research‑grade incretin peptides.</w:t>
      </w:r>
    </w:p>
    <w:p>
      <w:pPr>
        <w:spacing w:line="360" w:after="210" w:lineRule="auto"/>
      </w:pPr>
      <w:r>
        <w:rPr>
          <w:rFonts w:eastAsia="georgia" w:cs="georgia" w:ascii="georgia" w:hAnsi="georgia"/>
          <w:color w:val="000000"/>
        </w:rPr>
        <w:t xml:space="preserve">You can use this text directly, shorten it for a public‑facing summary, or repurpose it into technical datasheets and supporting documentation.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1" w:name="research_use_only_and_compliance_notice"/>
      <w:r>
        <w:rPr>
          <w:rFonts w:eastAsia="georgia" w:cs="georgia" w:ascii="georgia" w:hAnsi="georgia"/>
          <w:b/>
          <w:color w:val="000000"/>
          <w:sz w:val="24"/>
        </w:rPr>
        <w:t xml:space="preserve">Research‑use‑only and compliance notice</w:t>
      </w:r>
      <w:bookmarkEnd w:id="21"/>
    </w:p>
    <w:p>
      <w:pPr>
        <w:spacing w:line="360" w:after="210" w:lineRule="auto"/>
        <w:ind w:left="630"/>
      </w:pPr>
      <w:r>
        <w:rPr>
          <w:rFonts w:eastAsia="georgia" w:cs="georgia" w:ascii="georgia" w:hAnsi="georgia"/>
          <w:b/>
          <w:color w:val="000000"/>
        </w:rPr>
        <w:t xml:space="preserve">FOR LABORATORY RESEARCH USE ONLY – NOT FOR HUMAN OR VETERINARY USE</w:t>
      </w:r>
      <w:r>
        <w:rPr>
          <w:rFonts w:eastAsia="georgia" w:cs="georgia" w:ascii="georgia" w:hAnsi="georgia"/>
          <w:color w:val="000000"/>
        </w:rPr>
        <w:br w:type="textWrapping"/>
      </w:r>
      <w:r>
        <w:rPr>
          <w:rFonts w:eastAsia="georgia" w:cs="georgia" w:ascii="georgia" w:hAnsi="georgia"/>
          <w:color w:val="000000"/>
        </w:rPr>
        <w:t xml:space="preserve">Retatrutide (Reta) 10 mg is supplied solely as a research‑grade chemical for in‑vitro and preclinical laboratory applications. It is not a drug, food, cosmetic, dietary supplement, or medical product and has not been evaluated or approved by the FDA, EMA, MHRA, or any other regulatory authority for therapeutic use.[conversation_history:1]</w:t>
      </w:r>
    </w:p>
    <w:p>
      <w:pPr>
        <w:spacing w:line="360" w:after="210" w:lineRule="auto"/>
        <w:ind w:left="630"/>
      </w:pPr>
      <w:r>
        <w:rPr>
          <w:rFonts w:eastAsia="georgia" w:cs="georgia" w:ascii="georgia" w:hAnsi="georgia"/>
          <w:color w:val="000000"/>
        </w:rPr>
        <w:t xml:space="preserve">This material must not be used for diagnosis, treatment, mitigation, cure, or prevention of any disease and must not be administered to humans or animals outside properly approved research protocols. All product information is provided for educational and research‑planning purposes only. Handling should be restricted to qualified professionals working in appropriately equipped research facilities and operating under institutional safety, ethical, and compliance guidelines.[conversation_history:1]</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georgia">
    <w:family w:val="auto"/>
    <w:pitch w:val="variable"/>
  </w:font>
  <w:font w:name="helvetica neue">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3">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14">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15">
    <w:multiLevelType w:val="hybridMultilevel"/>
    <w:lvl w:ilvl="0">
      <w:start w:val="1"/>
      <w:numFmt w:val="bullet"/>
      <w:lvlText w:val=""/>
      <w:lvlJc w:val="left"/>
      <w:pPr>
        <w:tabs>
          <w:tab w:val="num" w:pos="900"/>
        </w:tabs>
        <w:ind w:left="54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2026-04-27T19:42:50.657Z</dcterms:created>
  <dcterms:modified xsi:type="dcterms:W3CDTF">2026-04-27T19:42:50.657Z</dcterms:modified>
</cp:coreProperties>
</file>