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b_500_10_mg_thymosin_beta_4_rese_948110"/>
      <w:r>
        <w:rPr>
          <w:rFonts w:eastAsia="georgia" w:cs="georgia" w:ascii="georgia" w:hAnsi="georgia"/>
          <w:b/>
          <w:color w:val="000000"/>
          <w:sz w:val="39"/>
        </w:rPr>
        <w:t xml:space="preserve">TB-500 (10 mg) – Thymosin Beta-4 Research Peptide Material Description</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TB‑500 is a synthetic research peptide corresponding to the full 43–amino acid sequence of thymosin beta‑4 (Tβ4), a naturally occurring peptide found in a wide range of mammalian tissues and circulating fluids.[file:23] Thymosin beta‑4 has been described in the literature as a multifunctional regulator of tissue repair, cell migration, angiogenesis, inflammatory resolution, and cytoskeletal organization, making TB‑500 a useful tool compound for exploring these mechanisms in laboratory models.[file:23]</w:t>
      </w:r>
    </w:p>
    <w:p>
      <w:pPr>
        <w:spacing w:line="360" w:after="210" w:lineRule="auto"/>
      </w:pPr>
      <w:r>
        <w:rPr>
          <w:rFonts w:eastAsia="georgia" w:cs="georgia" w:ascii="georgia" w:hAnsi="georgia"/>
          <w:color w:val="000000"/>
        </w:rPr>
        <w:t xml:space="preserve">This description is written for use on a research‑focused e‑commerce site and is intended to support in‑vitro and preclinical experimental planning only. Nothing here should be interpreted as medical advice, treatment guidance, or a recommendation for any non‑research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TB‑500 (Thymosin Beta‑4)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Synthetic thymosin beta‑4 analog (full 43–amino acid chain)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mg lyophilized 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98% by RP‑HPLC (research‑grade)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lyophilized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to −80 °C,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Solubility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Water, bacteriostatic water, phosphate buffered saline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77591‑33‑4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16132341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peptide_specifications"/>
      <w:r>
        <w:rPr>
          <w:rFonts w:eastAsia="georgia" w:cs="georgia" w:ascii="georgia" w:hAnsi="georgia"/>
          <w:b/>
          <w:color w:val="000000"/>
          <w:sz w:val="24"/>
        </w:rPr>
        <w:t xml:space="preserve">Identity and peptide specifications</w:t>
      </w:r>
      <w:bookmarkEnd w:id="3"/>
    </w:p>
    <w:p>
      <w:pPr>
        <w:spacing w:line="360" w:after="210" w:lineRule="auto"/>
      </w:pPr>
      <w:r>
        <w:rPr>
          <w:rFonts w:eastAsia="georgia" w:cs="georgia" w:ascii="georgia" w:hAnsi="georgia"/>
          <w:color w:val="000000"/>
        </w:rPr>
        <w:t xml:space="preserve">TB‑500 supplied here is designed to represent the complete thymosin beta‑4 sequence rather than a shorter fragment, which is important for studies that rely on all known functional domains within the peptide.[file:23]</w:t>
      </w:r>
    </w:p>
    <w:p>
      <w:pPr>
        <w:spacing w:line="360" w:after="210" w:lineRule="auto"/>
      </w:pPr>
      <w:r>
        <w:rPr>
          <w:rFonts w:eastAsia="georgia" w:cs="georgia" w:ascii="georgia" w:hAnsi="georgia"/>
          <w:b/>
          <w:color w:val="000000"/>
        </w:rPr>
        <w:t xml:space="preserve">Core specifications</w:t>
      </w:r>
    </w:p>
    <w:p>
      <w:pPr>
        <w:numPr>
          <w:ilvl w:val="0"/>
          <w:numId w:val="1"/>
        </w:numPr>
        <w:spacing w:line="360" w:before="105" w:after="105" w:lineRule="auto"/>
      </w:pPr>
      <w:r>
        <w:rPr>
          <w:rFonts w:eastAsia="georgia" w:cs="georgia" w:ascii="georgia" w:hAnsi="georgia"/>
          <w:color w:val="000000"/>
          <w:sz w:val="21"/>
        </w:rPr>
        <w:t xml:space="preserve">Peptide name: TB‑500 (Thymosin Beta‑4)</w:t>
      </w:r>
    </w:p>
    <w:p>
      <w:pPr>
        <w:numPr>
          <w:ilvl w:val="0"/>
          <w:numId w:val="1"/>
        </w:numPr>
        <w:spacing w:line="360" w:before="105" w:after="105" w:lineRule="auto"/>
      </w:pPr>
      <w:r>
        <w:rPr>
          <w:rFonts w:eastAsia="georgia" w:cs="georgia" w:ascii="georgia" w:hAnsi="georgia"/>
          <w:color w:val="000000"/>
          <w:sz w:val="21"/>
        </w:rPr>
        <w:t xml:space="preserve">Peptide classification: Synthetic thymosin beta‑4 analog, research‑grade material[file:23]</w:t>
      </w:r>
    </w:p>
    <w:p>
      <w:pPr>
        <w:numPr>
          <w:ilvl w:val="0"/>
          <w:numId w:val="1"/>
        </w:numPr>
        <w:spacing w:line="360" w:before="105" w:after="105" w:lineRule="auto"/>
      </w:pPr>
      <w:r>
        <w:rPr>
          <w:rFonts w:eastAsia="georgia" w:cs="georgia" w:ascii="georgia" w:hAnsi="georgia"/>
          <w:color w:val="000000"/>
          <w:sz w:val="21"/>
        </w:rPr>
        <w:t xml:space="preserve">Amino acid count: 43 amino acids[file:23]</w:t>
      </w:r>
    </w:p>
    <w:p>
      <w:pPr>
        <w:numPr>
          <w:ilvl w:val="0"/>
          <w:numId w:val="1"/>
        </w:numPr>
        <w:spacing w:line="360" w:before="105" w:after="105" w:lineRule="auto"/>
      </w:pPr>
      <w:r>
        <w:rPr>
          <w:rFonts w:eastAsia="georgia" w:cs="georgia" w:ascii="georgia" w:hAnsi="georgia"/>
          <w:color w:val="000000"/>
          <w:sz w:val="21"/>
        </w:rPr>
        <w:t xml:space="preserve">Sequence (three‑letter):</w:t>
      </w:r>
      <w:r>
        <w:rPr>
          <w:rFonts w:eastAsia="georgia" w:cs="georgia" w:ascii="georgia" w:hAnsi="georgia"/>
          <w:color w:val="000000"/>
          <w:sz w:val="21"/>
        </w:rPr>
        <w:br w:type="textWrapping"/>
      </w:r>
      <w:r>
        <w:rPr>
          <w:rFonts w:eastAsia="georgia" w:cs="georgia" w:ascii="georgia" w:hAnsi="georgia"/>
          <w:color w:val="000000"/>
          <w:sz w:val="21"/>
        </w:rPr>
        <w:t xml:space="preserve">Ac‑Ser‑Asp‑Lys‑Pro‑Asp‑Met‑Ala‑Glu‑Ile‑Glu‑Lys‑Phe‑Asp‑Lys‑Ser‑Lys‑Leu‑Lys‑Lys‑Thr‑Glu‑Thr‑Gln‑Glu‑Lys‑Asn‑Pro‑Leu‑Pro‑Ser‑Lys‑Glu‑Thr‑Ile‑Glu‑Gln‑Glu‑Lys‑Gln‑Ala‑Gly‑Glu‑Ser[file:23]</w:t>
      </w:r>
    </w:p>
    <w:p>
      <w:pPr>
        <w:numPr>
          <w:ilvl w:val="0"/>
          <w:numId w:val="1"/>
        </w:numPr>
        <w:spacing w:line="360" w:before="105" w:after="105" w:lineRule="auto"/>
      </w:pPr>
      <w:r>
        <w:rPr>
          <w:rFonts w:eastAsia="georgia" w:cs="georgia" w:ascii="georgia" w:hAnsi="georgia"/>
          <w:color w:val="000000"/>
          <w:sz w:val="21"/>
        </w:rPr>
        <w:t xml:space="preserve">Molecular formula: C₂₁₂H₃₅₀N₅₆O₇₈S (typical peptide backbone; consult COA for lot‑specific details)[file:23]</w:t>
      </w:r>
    </w:p>
    <w:p>
      <w:pPr>
        <w:numPr>
          <w:ilvl w:val="0"/>
          <w:numId w:val="1"/>
        </w:numPr>
        <w:spacing w:line="360" w:before="105" w:after="105" w:lineRule="auto"/>
      </w:pPr>
      <w:r>
        <w:rPr>
          <w:rFonts w:eastAsia="georgia" w:cs="georgia" w:ascii="georgia" w:hAnsi="georgia"/>
          <w:color w:val="000000"/>
          <w:sz w:val="21"/>
        </w:rPr>
        <w:t xml:space="preserve">Molecular weight: ~4,963.4 Da (typical value; verify per lot COA)[file:23]</w:t>
      </w:r>
    </w:p>
    <w:p>
      <w:pPr>
        <w:numPr>
          <w:ilvl w:val="0"/>
          <w:numId w:val="1"/>
        </w:numPr>
        <w:spacing w:line="360" w:before="105" w:after="105" w:lineRule="auto"/>
      </w:pPr>
      <w:r>
        <w:rPr>
          <w:rFonts w:eastAsia="georgia" w:cs="georgia" w:ascii="georgia" w:hAnsi="georgia"/>
          <w:color w:val="000000"/>
          <w:sz w:val="21"/>
        </w:rPr>
        <w:t xml:space="preserve">CAS Registry Number: 77591‑33‑4[file:23]</w:t>
      </w:r>
    </w:p>
    <w:p>
      <w:pPr>
        <w:numPr>
          <w:ilvl w:val="0"/>
          <w:numId w:val="1"/>
        </w:numPr>
        <w:spacing w:line="360" w:before="105" w:after="105" w:lineRule="auto"/>
      </w:pPr>
      <w:r>
        <w:rPr>
          <w:rFonts w:eastAsia="georgia" w:cs="georgia" w:ascii="georgia" w:hAnsi="georgia"/>
          <w:color w:val="000000"/>
          <w:sz w:val="21"/>
        </w:rPr>
        <w:t xml:space="preserve">PubChem CID: 16132341[file:23]</w:t>
      </w:r>
    </w:p>
    <w:p>
      <w:pPr>
        <w:numPr>
          <w:ilvl w:val="0"/>
          <w:numId w:val="1"/>
        </w:numPr>
        <w:spacing w:line="360" w:before="105" w:after="105" w:lineRule="auto"/>
      </w:pPr>
      <w:r>
        <w:rPr>
          <w:rFonts w:eastAsia="georgia" w:cs="georgia" w:ascii="georgia" w:hAnsi="georgia"/>
          <w:color w:val="000000"/>
          <w:sz w:val="21"/>
        </w:rPr>
        <w:t xml:space="preserve">Synonyms used in literature: thymosin beta‑4, thymosin β4 acetate, timbetasin, Tβ4, thymosin beta(4)[file:23]</w:t>
      </w:r>
    </w:p>
    <w:p>
      <w:pPr>
        <w:spacing w:line="360" w:after="210" w:lineRule="auto"/>
      </w:pPr>
      <w:r>
        <w:rPr>
          <w:rFonts w:eastAsia="georgia" w:cs="georgia" w:ascii="georgia" w:hAnsi="georgia"/>
          <w:color w:val="000000"/>
        </w:rPr>
        <w:t xml:space="preserve">The peptide includes a highly conserved central actin‑binding domain (amino acids 17–23, containing the LKKTET motif) that is central to its function as an actin‑sequestering protein.[file:23] Additional structural motifs, such as the N‑terminal acetylated tetrapeptide Ac‑SDKP and other regions spanning residues 1–15, have been associated with anti‑inflammatory, anti‑fibrotic, and pro‑survival activities in preclinical models.[file:23]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and_domain_a849a6"/>
      <w:r>
        <w:rPr>
          <w:rFonts w:eastAsia="georgia" w:cs="georgia" w:ascii="georgia" w:hAnsi="georgia"/>
          <w:b/>
          <w:color w:val="000000"/>
          <w:sz w:val="24"/>
        </w:rPr>
        <w:t xml:space="preserve">Scientific background and domain structure (non‑clinical)</w:t>
      </w:r>
      <w:bookmarkEnd w:id="4"/>
    </w:p>
    <w:p>
      <w:pPr>
        <w:spacing w:line="360" w:before="315" w:after="105" w:lineRule="auto"/>
        <w:ind w:left="-30"/>
        <w:jc w:val="left"/>
      </w:pPr>
      <w:bookmarkStart w:id="5" w:name="thymosin_beta_4_domains_and_funct_b35378"/>
      <w:r>
        <w:rPr>
          <w:rFonts w:eastAsia="georgia" w:cs="georgia" w:ascii="georgia" w:hAnsi="georgia"/>
          <w:b/>
          <w:color w:val="000000"/>
          <w:sz w:val="24"/>
        </w:rPr>
        <w:t xml:space="preserve">Thymosin beta‑4 domains and functional themes</w:t>
      </w:r>
      <w:bookmarkEnd w:id="5"/>
    </w:p>
    <w:p>
      <w:pPr>
        <w:spacing w:line="360" w:after="210" w:lineRule="auto"/>
      </w:pPr>
      <w:r>
        <w:rPr>
          <w:rFonts w:eastAsia="georgia" w:cs="georgia" w:ascii="georgia" w:hAnsi="georgia"/>
          <w:color w:val="000000"/>
        </w:rPr>
        <w:t xml:space="preserve">Thymosin beta‑4 is part of a broader thymosin family of peptides originally associated with thymus‑derived immune function but now recognized as widely distributed in many tissues.[file:23] Within its 43–amino acid sequence, several regions have been mapped to specific biological themes in laboratory research:</w:t>
      </w:r>
    </w:p>
    <w:p>
      <w:pPr>
        <w:numPr>
          <w:ilvl w:val="0"/>
          <w:numId w:val="2"/>
        </w:numPr>
        <w:spacing w:line="360" w:before="105" w:after="105" w:lineRule="auto"/>
      </w:pPr>
      <w:r>
        <w:rPr>
          <w:rFonts w:eastAsia="georgia" w:cs="georgia" w:ascii="georgia" w:hAnsi="georgia"/>
          <w:b/>
          <w:color w:val="000000"/>
          <w:sz w:val="21"/>
        </w:rPr>
        <w:t xml:space="preserve">N‑terminal Ac‑SDKP region</w:t>
      </w:r>
      <w:r>
        <w:rPr>
          <w:rFonts w:eastAsia="georgia" w:cs="georgia" w:ascii="georgia" w:hAnsi="georgia"/>
          <w:color w:val="000000"/>
          <w:sz w:val="21"/>
        </w:rPr>
        <w:t xml:space="preserve"> – a tetrapeptide (Ac‑Ser‑Asp‑Lys‑Pro) linked in preclinical work to antifibrotic and anti‑inflammatory effects, including modulation of tissue fibrosis and organ remodeling.[file:23]</w:t>
      </w:r>
    </w:p>
    <w:p>
      <w:pPr>
        <w:numPr>
          <w:ilvl w:val="0"/>
          <w:numId w:val="2"/>
        </w:numPr>
        <w:spacing w:line="360" w:before="105" w:after="105" w:lineRule="auto"/>
      </w:pPr>
      <w:r>
        <w:rPr>
          <w:rFonts w:eastAsia="georgia" w:cs="georgia" w:ascii="georgia" w:hAnsi="georgia"/>
          <w:b/>
          <w:color w:val="000000"/>
          <w:sz w:val="21"/>
        </w:rPr>
        <w:t xml:space="preserve">Residues 1–15</w:t>
      </w:r>
      <w:r>
        <w:rPr>
          <w:rFonts w:eastAsia="georgia" w:cs="georgia" w:ascii="georgia" w:hAnsi="georgia"/>
          <w:color w:val="000000"/>
          <w:sz w:val="21"/>
        </w:rPr>
        <w:t xml:space="preserve"> – associated with anti‑apoptotic and cell‑survival support functions, including protection of cells under hypoxic or oxidative stress conditions in some models.[file:23]</w:t>
      </w:r>
    </w:p>
    <w:p>
      <w:pPr>
        <w:numPr>
          <w:ilvl w:val="0"/>
          <w:numId w:val="2"/>
        </w:numPr>
        <w:spacing w:line="360" w:before="105" w:after="105" w:lineRule="auto"/>
      </w:pPr>
      <w:r>
        <w:rPr>
          <w:rFonts w:eastAsia="georgia" w:cs="georgia" w:ascii="georgia" w:hAnsi="georgia"/>
          <w:b/>
          <w:color w:val="000000"/>
          <w:sz w:val="21"/>
        </w:rPr>
        <w:t xml:space="preserve">Central actin‑binding domain (residues 17–23)</w:t>
      </w:r>
      <w:r>
        <w:rPr>
          <w:rFonts w:eastAsia="georgia" w:cs="georgia" w:ascii="georgia" w:hAnsi="georgia"/>
          <w:color w:val="000000"/>
          <w:sz w:val="21"/>
        </w:rPr>
        <w:t xml:space="preserve"> – containing the LKKTET motif, which binds G‑actin and regulates actin polymerization dynamics.[file:23]</w:t>
      </w:r>
    </w:p>
    <w:p>
      <w:pPr>
        <w:spacing w:line="360" w:after="210" w:lineRule="auto"/>
      </w:pPr>
      <w:r>
        <w:rPr>
          <w:rFonts w:eastAsia="georgia" w:cs="georgia" w:ascii="georgia" w:hAnsi="georgia"/>
          <w:color w:val="000000"/>
        </w:rPr>
        <w:t xml:space="preserve">TB‑500, as a synthetic version of thymosin beta‑4, is used to study how these domains contribute to integrated responses such as wound closure, angiogenesis, and organ protection.</w:t>
      </w:r>
    </w:p>
    <w:p>
      <w:pPr>
        <w:spacing w:line="360" w:before="315" w:after="105" w:lineRule="auto"/>
        <w:ind w:left="-30"/>
        <w:jc w:val="left"/>
      </w:pPr>
      <w:bookmarkStart w:id="6" w:name="actin_binding_and_cytoskeletal_re_a4897a"/>
      <w:r>
        <w:rPr>
          <w:rFonts w:eastAsia="georgia" w:cs="georgia" w:ascii="georgia" w:hAnsi="georgia"/>
          <w:b/>
          <w:color w:val="000000"/>
          <w:sz w:val="24"/>
        </w:rPr>
        <w:t xml:space="preserve">Actin binding and cytoskeletal regulation</w:t>
      </w:r>
      <w:bookmarkEnd w:id="6"/>
    </w:p>
    <w:p>
      <w:pPr>
        <w:spacing w:line="360" w:after="210" w:lineRule="auto"/>
      </w:pPr>
      <w:r>
        <w:rPr>
          <w:rFonts w:eastAsia="georgia" w:cs="georgia" w:ascii="georgia" w:hAnsi="georgia"/>
          <w:color w:val="000000"/>
        </w:rPr>
        <w:t xml:space="preserve">A central theme across TB‑500 research is its role as an actin‑binding and actin‑sequestering peptide.[file:23]</w:t>
      </w:r>
    </w:p>
    <w:p>
      <w:pPr>
        <w:spacing w:line="360" w:after="210" w:lineRule="auto"/>
      </w:pPr>
      <w:r>
        <w:rPr>
          <w:rFonts w:eastAsia="georgia" w:cs="georgia" w:ascii="georgia" w:hAnsi="georgia"/>
          <w:color w:val="000000"/>
        </w:rPr>
        <w:t xml:space="preserve">Key points from preclinical work include:</w:t>
      </w:r>
    </w:p>
    <w:p>
      <w:pPr>
        <w:numPr>
          <w:ilvl w:val="0"/>
          <w:numId w:val="3"/>
        </w:numPr>
        <w:spacing w:line="360" w:before="105" w:after="105" w:lineRule="auto"/>
      </w:pPr>
      <w:r>
        <w:rPr>
          <w:rFonts w:eastAsia="georgia" w:cs="georgia" w:ascii="georgia" w:hAnsi="georgia"/>
          <w:color w:val="000000"/>
          <w:sz w:val="21"/>
        </w:rPr>
        <w:t xml:space="preserve">TB‑500 binds monomeric G‑actin, reducing its availability for polymerization into F‑actin filaments and thereby influencing cytoskeletal organization.[file:23]</w:t>
      </w:r>
    </w:p>
    <w:p>
      <w:pPr>
        <w:numPr>
          <w:ilvl w:val="0"/>
          <w:numId w:val="3"/>
        </w:numPr>
        <w:spacing w:line="360" w:before="105" w:after="105" w:lineRule="auto"/>
      </w:pPr>
      <w:r>
        <w:rPr>
          <w:rFonts w:eastAsia="georgia" w:cs="georgia" w:ascii="georgia" w:hAnsi="georgia"/>
          <w:color w:val="000000"/>
          <w:sz w:val="21"/>
        </w:rPr>
        <w:t xml:space="preserve">Through actin modulation, TB‑500 affects cell shape, motility, and adhesion, with downstream effects on migration, proliferation, differentiation, and survival.[file:23]</w:t>
      </w:r>
    </w:p>
    <w:p>
      <w:pPr>
        <w:numPr>
          <w:ilvl w:val="0"/>
          <w:numId w:val="3"/>
        </w:numPr>
        <w:spacing w:line="360" w:before="105" w:after="105" w:lineRule="auto"/>
      </w:pPr>
      <w:r>
        <w:rPr>
          <w:rFonts w:eastAsia="georgia" w:cs="georgia" w:ascii="georgia" w:hAnsi="georgia"/>
          <w:color w:val="000000"/>
          <w:sz w:val="21"/>
        </w:rPr>
        <w:t xml:space="preserve">These actin‑related effects have been studied in endothelial cells, keratinocytes, fibroblasts, cardiomyocytes, neuronal cells, and various stem/progenitor populations.[file:23]</w:t>
      </w:r>
    </w:p>
    <w:p>
      <w:pPr>
        <w:spacing w:line="360" w:after="210" w:lineRule="auto"/>
      </w:pPr>
      <w:r>
        <w:rPr>
          <w:rFonts w:eastAsia="georgia" w:cs="georgia" w:ascii="georgia" w:hAnsi="georgia"/>
          <w:color w:val="000000"/>
        </w:rPr>
        <w:t xml:space="preserve">Because actin dynamics are central to numerous cellular processes, TB‑500 has become a widely used tool for dissecting cytoskeleton‑linked pathways in tissue repair and regeneration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extended_preclinical_research_overview"/>
      <w:r>
        <w:rPr>
          <w:rFonts w:eastAsia="georgia" w:cs="georgia" w:ascii="georgia" w:hAnsi="georgia"/>
          <w:b/>
          <w:color w:val="000000"/>
          <w:sz w:val="24"/>
        </w:rPr>
        <w:t xml:space="preserve">Extended preclinical research overview</w:t>
      </w:r>
      <w:bookmarkEnd w:id="7"/>
    </w:p>
    <w:p>
      <w:pPr>
        <w:spacing w:line="360" w:before="315" w:after="105" w:lineRule="auto"/>
        <w:ind w:left="-30"/>
        <w:jc w:val="left"/>
      </w:pPr>
      <w:bookmarkStart w:id="8" w:name="bm_1_tissue_repair_and_wound_healing"/>
      <w:r>
        <w:rPr>
          <w:rFonts w:eastAsia="georgia" w:cs="georgia" w:ascii="georgia" w:hAnsi="georgia"/>
          <w:b/>
          <w:color w:val="000000"/>
          <w:sz w:val="24"/>
        </w:rPr>
        <w:t xml:space="preserve">1. Tissue repair and wound healing</w:t>
      </w:r>
      <w:bookmarkEnd w:id="8"/>
    </w:p>
    <w:p>
      <w:pPr>
        <w:spacing w:line="360" w:after="210" w:lineRule="auto"/>
      </w:pPr>
      <w:r>
        <w:rPr>
          <w:rFonts w:eastAsia="georgia" w:cs="georgia" w:ascii="georgia" w:hAnsi="georgia"/>
          <w:color w:val="000000"/>
        </w:rPr>
        <w:t xml:space="preserve">Thymosin beta‑4/TB‑500 has been extensively studied in tissue repair models, where it is used to map the sequence of events that underlie successful wound healing.[file:23]</w:t>
      </w:r>
    </w:p>
    <w:p>
      <w:pPr>
        <w:spacing w:line="360" w:after="210" w:lineRule="auto"/>
      </w:pPr>
      <w:r>
        <w:rPr>
          <w:rFonts w:eastAsia="georgia" w:cs="georgia" w:ascii="georgia" w:hAnsi="georgia"/>
          <w:color w:val="000000"/>
        </w:rPr>
        <w:t xml:space="preserve">Experimental themes include:</w:t>
      </w:r>
    </w:p>
    <w:p>
      <w:pPr>
        <w:numPr>
          <w:ilvl w:val="0"/>
          <w:numId w:val="4"/>
        </w:numPr>
        <w:spacing w:line="360" w:before="105" w:after="105" w:lineRule="auto"/>
      </w:pPr>
      <w:r>
        <w:rPr>
          <w:rFonts w:eastAsia="georgia" w:cs="georgia" w:ascii="georgia" w:hAnsi="georgia"/>
          <w:b/>
          <w:color w:val="000000"/>
          <w:sz w:val="21"/>
        </w:rPr>
        <w:t xml:space="preserve">Cellular migration and chemotaxis</w:t>
      </w:r>
      <w:r>
        <w:rPr>
          <w:rFonts w:eastAsia="georgia" w:cs="georgia" w:ascii="georgia" w:hAnsi="georgia"/>
          <w:color w:val="000000"/>
          <w:sz w:val="21"/>
        </w:rPr>
        <w:t xml:space="preserve"> – assessments of how keratinocytes, fibroblasts, endothelial cells, and other cell types migrate into wound areas or across scratch assays under TB‑500 exposure.[file:23]</w:t>
      </w:r>
    </w:p>
    <w:p>
      <w:pPr>
        <w:numPr>
          <w:ilvl w:val="0"/>
          <w:numId w:val="4"/>
        </w:numPr>
        <w:spacing w:line="360" w:before="105" w:after="105" w:lineRule="auto"/>
      </w:pPr>
      <w:r>
        <w:rPr>
          <w:rFonts w:eastAsia="georgia" w:cs="georgia" w:ascii="georgia" w:hAnsi="georgia"/>
          <w:b/>
          <w:color w:val="000000"/>
          <w:sz w:val="21"/>
        </w:rPr>
        <w:t xml:space="preserve">Re‑epithelialization and closure rates</w:t>
      </w:r>
      <w:r>
        <w:rPr>
          <w:rFonts w:eastAsia="georgia" w:cs="georgia" w:ascii="georgia" w:hAnsi="georgia"/>
          <w:color w:val="000000"/>
          <w:sz w:val="21"/>
        </w:rPr>
        <w:t xml:space="preserve"> – measurement of wound closure speed, re‑epithelialization, and restoration of barrier function in dermal and mucosal models.[file:23]</w:t>
      </w:r>
    </w:p>
    <w:p>
      <w:pPr>
        <w:numPr>
          <w:ilvl w:val="0"/>
          <w:numId w:val="4"/>
        </w:numPr>
        <w:spacing w:line="360" w:before="105" w:after="105" w:lineRule="auto"/>
      </w:pPr>
      <w:r>
        <w:rPr>
          <w:rFonts w:eastAsia="georgia" w:cs="georgia" w:ascii="georgia" w:hAnsi="georgia"/>
          <w:b/>
          <w:color w:val="000000"/>
          <w:sz w:val="21"/>
        </w:rPr>
        <w:t xml:space="preserve">Angiogenesis in repair contexts</w:t>
      </w:r>
      <w:r>
        <w:rPr>
          <w:rFonts w:eastAsia="georgia" w:cs="georgia" w:ascii="georgia" w:hAnsi="georgia"/>
          <w:color w:val="000000"/>
          <w:sz w:val="21"/>
        </w:rPr>
        <w:t xml:space="preserve"> – evaluation of new blood‑vessel formation, endothelial sprouting, and microvascular density in granulation tissue.[file:23]</w:t>
      </w:r>
    </w:p>
    <w:p>
      <w:pPr>
        <w:numPr>
          <w:ilvl w:val="0"/>
          <w:numId w:val="4"/>
        </w:numPr>
        <w:spacing w:line="360" w:before="105" w:after="105" w:lineRule="auto"/>
      </w:pPr>
      <w:r>
        <w:rPr>
          <w:rFonts w:eastAsia="georgia" w:cs="georgia" w:ascii="georgia" w:hAnsi="georgia"/>
          <w:b/>
          <w:color w:val="000000"/>
          <w:sz w:val="21"/>
        </w:rPr>
        <w:t xml:space="preserve">Extracellular matrix (ECM) remodeling</w:t>
      </w:r>
      <w:r>
        <w:rPr>
          <w:rFonts w:eastAsia="georgia" w:cs="georgia" w:ascii="georgia" w:hAnsi="georgia"/>
          <w:color w:val="000000"/>
          <w:sz w:val="21"/>
        </w:rPr>
        <w:t xml:space="preserve"> – analysis of collagen deposition, matrix metalloproteinase (MMP) expression, and organization of collagen fibers and other ECM components.[file:23]</w:t>
      </w:r>
    </w:p>
    <w:p>
      <w:pPr>
        <w:numPr>
          <w:ilvl w:val="0"/>
          <w:numId w:val="4"/>
        </w:numPr>
        <w:spacing w:line="360" w:before="105" w:after="105" w:lineRule="auto"/>
      </w:pPr>
      <w:r>
        <w:rPr>
          <w:rFonts w:eastAsia="georgia" w:cs="georgia" w:ascii="georgia" w:hAnsi="georgia"/>
          <w:b/>
          <w:color w:val="000000"/>
          <w:sz w:val="21"/>
        </w:rPr>
        <w:t xml:space="preserve">Inflammation and resolution</w:t>
      </w:r>
      <w:r>
        <w:rPr>
          <w:rFonts w:eastAsia="georgia" w:cs="georgia" w:ascii="georgia" w:hAnsi="georgia"/>
          <w:color w:val="000000"/>
          <w:sz w:val="21"/>
        </w:rPr>
        <w:t xml:space="preserve"> – study of inflammatory cell recruitment, cytokine/chemokine expression, and autophagy‑linked resolution pathways.[file:23]</w:t>
      </w:r>
    </w:p>
    <w:p>
      <w:pPr>
        <w:spacing w:line="360" w:after="210" w:lineRule="auto"/>
      </w:pPr>
      <w:r>
        <w:rPr>
          <w:rFonts w:eastAsia="georgia" w:cs="georgia" w:ascii="georgia" w:hAnsi="georgia"/>
          <w:color w:val="000000"/>
        </w:rPr>
        <w:t xml:space="preserve">These studies often combine histology, immunohistochemistry, imaging, and functional scoring to build a multi‑layer view of repair.</w:t>
      </w:r>
    </w:p>
    <w:p>
      <w:pPr>
        <w:spacing w:line="360" w:before="315" w:after="105" w:lineRule="auto"/>
        <w:ind w:left="-30"/>
        <w:jc w:val="left"/>
      </w:pPr>
      <w:bookmarkStart w:id="9" w:name="bm_2_cardiovascular_applications_ac84b8"/>
      <w:r>
        <w:rPr>
          <w:rFonts w:eastAsia="georgia" w:cs="georgia" w:ascii="georgia" w:hAnsi="georgia"/>
          <w:b/>
          <w:color w:val="000000"/>
          <w:sz w:val="24"/>
        </w:rPr>
        <w:t xml:space="preserve">2. Cardiovascular applications (preclinical)</w:t>
      </w:r>
      <w:bookmarkEnd w:id="9"/>
    </w:p>
    <w:p>
      <w:pPr>
        <w:spacing w:line="360" w:after="210" w:lineRule="auto"/>
      </w:pPr>
      <w:r>
        <w:rPr>
          <w:rFonts w:eastAsia="georgia" w:cs="georgia" w:ascii="georgia" w:hAnsi="georgia"/>
          <w:color w:val="000000"/>
        </w:rPr>
        <w:t xml:space="preserve">In cardiovascular research, thymosin beta‑4/TB‑500 is used in models of myocardial infarction, ischemia–reperfusion injury, and ischemic limb disease.[file:23]</w:t>
      </w:r>
    </w:p>
    <w:p>
      <w:pPr>
        <w:spacing w:line="360" w:after="210" w:lineRule="auto"/>
      </w:pPr>
      <w:r>
        <w:rPr>
          <w:rFonts w:eastAsia="georgia" w:cs="georgia" w:ascii="georgia" w:hAnsi="georgia"/>
          <w:color w:val="000000"/>
        </w:rPr>
        <w:t xml:space="preserve">Representative questions include:</w:t>
      </w:r>
    </w:p>
    <w:p>
      <w:pPr>
        <w:numPr>
          <w:ilvl w:val="0"/>
          <w:numId w:val="5"/>
        </w:numPr>
        <w:spacing w:line="360" w:before="105" w:after="105" w:lineRule="auto"/>
      </w:pPr>
      <w:r>
        <w:rPr>
          <w:rFonts w:eastAsia="georgia" w:cs="georgia" w:ascii="georgia" w:hAnsi="georgia"/>
          <w:color w:val="000000"/>
          <w:sz w:val="21"/>
        </w:rPr>
        <w:t xml:space="preserve">How cardiomyocyte survival, apoptosis markers, and contractile function change after ischemic injury in the presence of thymosin beta‑4–related pathways.[file:23]</w:t>
      </w:r>
    </w:p>
    <w:p>
      <w:pPr>
        <w:numPr>
          <w:ilvl w:val="0"/>
          <w:numId w:val="5"/>
        </w:numPr>
        <w:spacing w:line="360" w:before="105" w:after="105" w:lineRule="auto"/>
      </w:pPr>
      <w:r>
        <w:rPr>
          <w:rFonts w:eastAsia="georgia" w:cs="georgia" w:ascii="georgia" w:hAnsi="georgia"/>
          <w:color w:val="000000"/>
          <w:sz w:val="21"/>
        </w:rPr>
        <w:t xml:space="preserve">Whether activation of epicardial progenitor cells and enhanced coronary neovascularization contribute to improved structural or functional recovery in animal models.[file:23]</w:t>
      </w:r>
    </w:p>
    <w:p>
      <w:pPr>
        <w:numPr>
          <w:ilvl w:val="0"/>
          <w:numId w:val="5"/>
        </w:numPr>
        <w:spacing w:line="360" w:before="105" w:after="105" w:lineRule="auto"/>
      </w:pPr>
      <w:r>
        <w:rPr>
          <w:rFonts w:eastAsia="georgia" w:cs="georgia" w:ascii="georgia" w:hAnsi="georgia"/>
          <w:color w:val="000000"/>
          <w:sz w:val="21"/>
        </w:rPr>
        <w:t xml:space="preserve">How TB‑500 interacts with stem‑cell therapies, including effects on cell engraftment, survival, and paracrine signaling in ischemic environments.[file:23]</w:t>
      </w:r>
    </w:p>
    <w:p>
      <w:pPr>
        <w:spacing w:line="360" w:after="210" w:lineRule="auto"/>
      </w:pPr>
      <w:r>
        <w:rPr>
          <w:rFonts w:eastAsia="georgia" w:cs="georgia" w:ascii="georgia" w:hAnsi="georgia"/>
          <w:color w:val="000000"/>
        </w:rPr>
        <w:t xml:space="preserve">These experiments use cardiac imaging, hemodynamic measurements, histology, and molecular assays to quantify post‑injury remodeling.</w:t>
      </w:r>
    </w:p>
    <w:p>
      <w:pPr>
        <w:spacing w:line="360" w:before="315" w:after="105" w:lineRule="auto"/>
        <w:ind w:left="-30"/>
        <w:jc w:val="left"/>
      </w:pPr>
      <w:bookmarkStart w:id="10" w:name="bm_3_musculoskeletal_repair_and_c_2c13ce"/>
      <w:r>
        <w:rPr>
          <w:rFonts w:eastAsia="georgia" w:cs="georgia" w:ascii="georgia" w:hAnsi="georgia"/>
          <w:b/>
          <w:color w:val="000000"/>
          <w:sz w:val="24"/>
        </w:rPr>
        <w:t xml:space="preserve">3. Musculoskeletal repair and connective tissue research</w:t>
      </w:r>
      <w:bookmarkEnd w:id="10"/>
    </w:p>
    <w:p>
      <w:pPr>
        <w:spacing w:line="360" w:after="210" w:lineRule="auto"/>
      </w:pPr>
      <w:r>
        <w:rPr>
          <w:rFonts w:eastAsia="georgia" w:cs="georgia" w:ascii="georgia" w:hAnsi="georgia"/>
          <w:color w:val="000000"/>
        </w:rPr>
        <w:t xml:space="preserve">TB‑500 is also used to study connective tissue and musculoskeletal repair, including tendon, ligament, and skeletal muscle models.[file:23]</w:t>
      </w:r>
    </w:p>
    <w:p>
      <w:pPr>
        <w:spacing w:line="360" w:after="210" w:lineRule="auto"/>
      </w:pPr>
      <w:r>
        <w:rPr>
          <w:rFonts w:eastAsia="georgia" w:cs="georgia" w:ascii="georgia" w:hAnsi="georgia"/>
          <w:color w:val="000000"/>
        </w:rPr>
        <w:t xml:space="preserve">Common research endpoints include:</w:t>
      </w:r>
    </w:p>
    <w:p>
      <w:pPr>
        <w:numPr>
          <w:ilvl w:val="0"/>
          <w:numId w:val="6"/>
        </w:numPr>
        <w:spacing w:line="360" w:before="105" w:after="105" w:lineRule="auto"/>
      </w:pPr>
      <w:r>
        <w:rPr>
          <w:rFonts w:eastAsia="georgia" w:cs="georgia" w:ascii="georgia" w:hAnsi="georgia"/>
          <w:b/>
          <w:color w:val="000000"/>
          <w:sz w:val="21"/>
        </w:rPr>
        <w:t xml:space="preserve">Tendon and ligament healing</w:t>
      </w:r>
      <w:r>
        <w:rPr>
          <w:rFonts w:eastAsia="georgia" w:cs="georgia" w:ascii="georgia" w:hAnsi="georgia"/>
          <w:color w:val="000000"/>
          <w:sz w:val="21"/>
        </w:rPr>
        <w:t xml:space="preserve"> – collagen fiber orientation, cross‑linking, and biomechanical strength in injury models.[file:23]</w:t>
      </w:r>
    </w:p>
    <w:p>
      <w:pPr>
        <w:numPr>
          <w:ilvl w:val="0"/>
          <w:numId w:val="6"/>
        </w:numPr>
        <w:spacing w:line="360" w:before="105" w:after="105" w:lineRule="auto"/>
      </w:pPr>
      <w:r>
        <w:rPr>
          <w:rFonts w:eastAsia="georgia" w:cs="georgia" w:ascii="georgia" w:hAnsi="georgia"/>
          <w:b/>
          <w:color w:val="000000"/>
          <w:sz w:val="21"/>
        </w:rPr>
        <w:t xml:space="preserve">Skeletal muscle regeneration</w:t>
      </w:r>
      <w:r>
        <w:rPr>
          <w:rFonts w:eastAsia="georgia" w:cs="georgia" w:ascii="georgia" w:hAnsi="georgia"/>
          <w:color w:val="000000"/>
          <w:sz w:val="21"/>
        </w:rPr>
        <w:t xml:space="preserve"> – satellite cell activation, myofiber regeneration, and recovery of contractile properties after damage.[file:23]</w:t>
      </w:r>
    </w:p>
    <w:p>
      <w:pPr>
        <w:numPr>
          <w:ilvl w:val="0"/>
          <w:numId w:val="6"/>
        </w:numPr>
        <w:spacing w:line="360" w:before="105" w:after="105" w:lineRule="auto"/>
      </w:pPr>
      <w:r>
        <w:rPr>
          <w:rFonts w:eastAsia="georgia" w:cs="georgia" w:ascii="georgia" w:hAnsi="georgia"/>
          <w:b/>
          <w:color w:val="000000"/>
          <w:sz w:val="21"/>
        </w:rPr>
        <w:t xml:space="preserve">Adhesion and fibrosis</w:t>
      </w:r>
      <w:r>
        <w:rPr>
          <w:rFonts w:eastAsia="georgia" w:cs="georgia" w:ascii="georgia" w:hAnsi="georgia"/>
          <w:color w:val="000000"/>
          <w:sz w:val="21"/>
        </w:rPr>
        <w:t xml:space="preserve"> – formation or prevention of adhesions and fibrotic bands in tendons, ligaments, and other connective tissues.[file:23]</w:t>
      </w:r>
    </w:p>
    <w:p>
      <w:pPr>
        <w:spacing w:line="360" w:after="210" w:lineRule="auto"/>
      </w:pPr>
      <w:r>
        <w:rPr>
          <w:rFonts w:eastAsia="georgia" w:cs="georgia" w:ascii="georgia" w:hAnsi="georgia"/>
          <w:color w:val="000000"/>
        </w:rPr>
        <w:t xml:space="preserve">These studies frequently combine mechanical testing with imaging and molecular markers of regeneration and fibrosis.</w:t>
      </w:r>
    </w:p>
    <w:p>
      <w:pPr>
        <w:spacing w:line="360" w:before="315" w:after="105" w:lineRule="auto"/>
        <w:ind w:left="-30"/>
        <w:jc w:val="left"/>
      </w:pPr>
      <w:bookmarkStart w:id="11" w:name="bm_4_neuroprotection_and_central_968a1b"/>
      <w:r>
        <w:rPr>
          <w:rFonts w:eastAsia="georgia" w:cs="georgia" w:ascii="georgia" w:hAnsi="georgia"/>
          <w:b/>
          <w:color w:val="000000"/>
          <w:sz w:val="24"/>
        </w:rPr>
        <w:t xml:space="preserve">4. Neuroprotection and central nervous system models</w:t>
      </w:r>
      <w:bookmarkEnd w:id="11"/>
    </w:p>
    <w:p>
      <w:pPr>
        <w:spacing w:line="360" w:after="210" w:lineRule="auto"/>
      </w:pPr>
      <w:r>
        <w:rPr>
          <w:rFonts w:eastAsia="georgia" w:cs="georgia" w:ascii="georgia" w:hAnsi="georgia"/>
          <w:color w:val="000000"/>
        </w:rPr>
        <w:t xml:space="preserve">The protective and reparative roles of thymosin beta‑4 are being explored in CNS and peripheral nerve models.[file:23]</w:t>
      </w:r>
    </w:p>
    <w:p>
      <w:pPr>
        <w:spacing w:line="360" w:after="210" w:lineRule="auto"/>
      </w:pPr>
      <w:r>
        <w:rPr>
          <w:rFonts w:eastAsia="georgia" w:cs="georgia" w:ascii="georgia" w:hAnsi="georgia"/>
          <w:color w:val="000000"/>
        </w:rPr>
        <w:t xml:space="preserve">Areas of investigation include:</w:t>
      </w:r>
    </w:p>
    <w:p>
      <w:pPr>
        <w:numPr>
          <w:ilvl w:val="0"/>
          <w:numId w:val="7"/>
        </w:numPr>
        <w:spacing w:line="360" w:before="105" w:after="105" w:lineRule="auto"/>
      </w:pPr>
      <w:r>
        <w:rPr>
          <w:rFonts w:eastAsia="georgia" w:cs="georgia" w:ascii="georgia" w:hAnsi="georgia"/>
          <w:b/>
          <w:color w:val="000000"/>
          <w:sz w:val="21"/>
        </w:rPr>
        <w:t xml:space="preserve">Neurogenesis and neural stem cells</w:t>
      </w:r>
      <w:r>
        <w:rPr>
          <w:rFonts w:eastAsia="georgia" w:cs="georgia" w:ascii="georgia" w:hAnsi="georgia"/>
          <w:color w:val="000000"/>
          <w:sz w:val="21"/>
        </w:rPr>
        <w:t xml:space="preserve"> – migration and differentiation of neural progenitor cells in response to thymosin beta‑4–related exposure.[file:23]</w:t>
      </w:r>
    </w:p>
    <w:p>
      <w:pPr>
        <w:numPr>
          <w:ilvl w:val="0"/>
          <w:numId w:val="7"/>
        </w:numPr>
        <w:spacing w:line="360" w:before="105" w:after="105" w:lineRule="auto"/>
      </w:pPr>
      <w:r>
        <w:rPr>
          <w:rFonts w:eastAsia="georgia" w:cs="georgia" w:ascii="georgia" w:hAnsi="georgia"/>
          <w:b/>
          <w:color w:val="000000"/>
          <w:sz w:val="21"/>
        </w:rPr>
        <w:t xml:space="preserve">Traumatic brain injury (TBI) and neuroinflammation</w:t>
      </w:r>
      <w:r>
        <w:rPr>
          <w:rFonts w:eastAsia="georgia" w:cs="georgia" w:ascii="georgia" w:hAnsi="georgia"/>
          <w:color w:val="000000"/>
          <w:sz w:val="21"/>
        </w:rPr>
        <w:t xml:space="preserve"> – anti‑apoptotic and anti‑inflammatory effects, including modulation of cytokines, microglial activity, and neuronal survival.[file:23]</w:t>
      </w:r>
    </w:p>
    <w:p>
      <w:pPr>
        <w:numPr>
          <w:ilvl w:val="0"/>
          <w:numId w:val="7"/>
        </w:numPr>
        <w:spacing w:line="360" w:before="105" w:after="105" w:lineRule="auto"/>
      </w:pPr>
      <w:r>
        <w:rPr>
          <w:rFonts w:eastAsia="georgia" w:cs="georgia" w:ascii="georgia" w:hAnsi="georgia"/>
          <w:b/>
          <w:color w:val="000000"/>
          <w:sz w:val="21"/>
        </w:rPr>
        <w:t xml:space="preserve">Axonal growth and connectivity</w:t>
      </w:r>
      <w:r>
        <w:rPr>
          <w:rFonts w:eastAsia="georgia" w:cs="georgia" w:ascii="georgia" w:hAnsi="georgia"/>
          <w:color w:val="000000"/>
          <w:sz w:val="21"/>
        </w:rPr>
        <w:t xml:space="preserve"> – impacts on neurite outgrowth, axonal extension, and functional recovery in spinal cord and peripheral nerve injury models.[file:23]</w:t>
      </w:r>
    </w:p>
    <w:p>
      <w:pPr>
        <w:spacing w:line="360" w:after="210" w:lineRule="auto"/>
      </w:pPr>
      <w:r>
        <w:rPr>
          <w:rFonts w:eastAsia="georgia" w:cs="georgia" w:ascii="georgia" w:hAnsi="georgia"/>
          <w:color w:val="000000"/>
        </w:rPr>
        <w:t xml:space="preserve">These studies use cell culture, brain slice preparations, and in‑vivo injury models with behavioral and histological readouts.</w:t>
      </w:r>
    </w:p>
    <w:p>
      <w:pPr>
        <w:spacing w:line="360" w:before="315" w:after="105" w:lineRule="auto"/>
        <w:ind w:left="-30"/>
        <w:jc w:val="left"/>
      </w:pPr>
      <w:bookmarkStart w:id="12" w:name="bm_5_liver_kidney_and_other_organ_models"/>
      <w:r>
        <w:rPr>
          <w:rFonts w:eastAsia="georgia" w:cs="georgia" w:ascii="georgia" w:hAnsi="georgia"/>
          <w:b/>
          <w:color w:val="000000"/>
          <w:sz w:val="24"/>
        </w:rPr>
        <w:t xml:space="preserve">5. Liver, kidney, and other organ models</w:t>
      </w:r>
      <w:bookmarkEnd w:id="12"/>
    </w:p>
    <w:p>
      <w:pPr>
        <w:spacing w:line="360" w:after="210" w:lineRule="auto"/>
      </w:pPr>
      <w:r>
        <w:rPr>
          <w:rFonts w:eastAsia="georgia" w:cs="georgia" w:ascii="georgia" w:hAnsi="georgia"/>
          <w:color w:val="000000"/>
        </w:rPr>
        <w:t xml:space="preserve">Beyond heart and musculoskeletal tissues, thymosin beta‑4/TB‑500 has been examined in multiple organ systems.[file:23]</w:t>
      </w:r>
    </w:p>
    <w:p>
      <w:pPr>
        <w:spacing w:line="360" w:after="210" w:lineRule="auto"/>
      </w:pPr>
      <w:r>
        <w:rPr>
          <w:rFonts w:eastAsia="georgia" w:cs="georgia" w:ascii="georgia" w:hAnsi="georgia"/>
          <w:color w:val="000000"/>
        </w:rPr>
        <w:t xml:space="preserve">Examples include:</w:t>
      </w:r>
    </w:p>
    <w:p>
      <w:pPr>
        <w:numPr>
          <w:ilvl w:val="0"/>
          <w:numId w:val="8"/>
        </w:numPr>
        <w:spacing w:line="360" w:before="105" w:after="105" w:lineRule="auto"/>
      </w:pPr>
      <w:r>
        <w:rPr>
          <w:rFonts w:eastAsia="georgia" w:cs="georgia" w:ascii="georgia" w:hAnsi="georgia"/>
          <w:b/>
          <w:color w:val="000000"/>
          <w:sz w:val="21"/>
        </w:rPr>
        <w:t xml:space="preserve">Liver and NAFLD research</w:t>
      </w:r>
      <w:r>
        <w:rPr>
          <w:rFonts w:eastAsia="georgia" w:cs="georgia" w:ascii="georgia" w:hAnsi="georgia"/>
          <w:color w:val="000000"/>
          <w:sz w:val="21"/>
        </w:rPr>
        <w:t xml:space="preserve"> – models of non‑alcoholic fatty liver disease where thymosin beta‑4 has been linked to modulation of ferroptosis, oxidative stress, and inflammation via GPX4‑related pathways.[file:23]</w:t>
      </w:r>
    </w:p>
    <w:p>
      <w:pPr>
        <w:numPr>
          <w:ilvl w:val="0"/>
          <w:numId w:val="8"/>
        </w:numPr>
        <w:spacing w:line="360" w:before="105" w:after="105" w:lineRule="auto"/>
      </w:pPr>
      <w:r>
        <w:rPr>
          <w:rFonts w:eastAsia="georgia" w:cs="georgia" w:ascii="georgia" w:hAnsi="georgia"/>
          <w:b/>
          <w:color w:val="000000"/>
          <w:sz w:val="21"/>
        </w:rPr>
        <w:t xml:space="preserve">Renal and intestinal tissues</w:t>
      </w:r>
      <w:r>
        <w:rPr>
          <w:rFonts w:eastAsia="georgia" w:cs="georgia" w:ascii="georgia" w:hAnsi="georgia"/>
          <w:color w:val="000000"/>
          <w:sz w:val="21"/>
        </w:rPr>
        <w:t xml:space="preserve"> – preservation of tissue structure, modulation of injury responses, and maintenance of epithelial barrier integrity in preclinical studies.[file:23]</w:t>
      </w:r>
    </w:p>
    <w:p>
      <w:pPr>
        <w:numPr>
          <w:ilvl w:val="0"/>
          <w:numId w:val="8"/>
        </w:numPr>
        <w:spacing w:line="360" w:before="105" w:after="105" w:lineRule="auto"/>
      </w:pPr>
      <w:r>
        <w:rPr>
          <w:rFonts w:eastAsia="georgia" w:cs="georgia" w:ascii="georgia" w:hAnsi="georgia"/>
          <w:b/>
          <w:color w:val="000000"/>
          <w:sz w:val="21"/>
        </w:rPr>
        <w:t xml:space="preserve">Ocular surface and corneal injury</w:t>
      </w:r>
      <w:r>
        <w:rPr>
          <w:rFonts w:eastAsia="georgia" w:cs="georgia" w:ascii="georgia" w:hAnsi="georgia"/>
          <w:color w:val="000000"/>
          <w:sz w:val="21"/>
        </w:rPr>
        <w:t xml:space="preserve"> – adjunctive use in bacterial keratitis models to investigate corneal wound healing and inflammatory modulation alongside standard antibiotic therapy.[file:23]</w:t>
      </w:r>
    </w:p>
    <w:p>
      <w:pPr>
        <w:spacing w:line="360" w:after="210" w:lineRule="auto"/>
      </w:pPr>
      <w:r>
        <w:rPr>
          <w:rFonts w:eastAsia="georgia" w:cs="georgia" w:ascii="georgia" w:hAnsi="georgia"/>
          <w:color w:val="000000"/>
        </w:rPr>
        <w:t xml:space="preserve">All such work remains strictly preclinical and mechanistic.</w:t>
      </w:r>
    </w:p>
    <w:p>
      <w:pPr>
        <w:spacing w:line="360" w:before="315" w:after="105" w:lineRule="auto"/>
        <w:ind w:left="-30"/>
        <w:jc w:val="left"/>
      </w:pPr>
      <w:bookmarkStart w:id="13" w:name="bm_6_inflammation_fibrosis_and_re_91ad06"/>
      <w:r>
        <w:rPr>
          <w:rFonts w:eastAsia="georgia" w:cs="georgia" w:ascii="georgia" w:hAnsi="georgia"/>
          <w:b/>
          <w:color w:val="000000"/>
          <w:sz w:val="24"/>
        </w:rPr>
        <w:t xml:space="preserve">6. Inflammation, fibrosis, and remodeling</w:t>
      </w:r>
      <w:bookmarkEnd w:id="13"/>
    </w:p>
    <w:p>
      <w:pPr>
        <w:spacing w:line="360" w:after="210" w:lineRule="auto"/>
      </w:pPr>
      <w:r>
        <w:rPr>
          <w:rFonts w:eastAsia="georgia" w:cs="georgia" w:ascii="georgia" w:hAnsi="georgia"/>
          <w:color w:val="000000"/>
        </w:rPr>
        <w:t xml:space="preserve">Recent work emphasizes thymosin beta‑4’s role in controlling inflammatory and fibrotic responses, making TB‑500 a valuable tool in these pathways.[file:23]</w:t>
      </w:r>
    </w:p>
    <w:p>
      <w:pPr>
        <w:spacing w:line="360" w:after="210" w:lineRule="auto"/>
      </w:pPr>
      <w:r>
        <w:rPr>
          <w:rFonts w:eastAsia="georgia" w:cs="georgia" w:ascii="georgia" w:hAnsi="georgia"/>
          <w:color w:val="000000"/>
        </w:rPr>
        <w:t xml:space="preserve">Research themes include:</w:t>
      </w:r>
    </w:p>
    <w:p>
      <w:pPr>
        <w:numPr>
          <w:ilvl w:val="0"/>
          <w:numId w:val="9"/>
        </w:numPr>
        <w:spacing w:line="360" w:before="105" w:after="105" w:lineRule="auto"/>
      </w:pPr>
      <w:r>
        <w:rPr>
          <w:rFonts w:eastAsia="georgia" w:cs="georgia" w:ascii="georgia" w:hAnsi="georgia"/>
          <w:color w:val="000000"/>
          <w:sz w:val="21"/>
        </w:rPr>
        <w:t xml:space="preserve">Effects on pro‑ and anti‑inflammatory cytokines, chemokines, and inflammatory cell trafficking.[file:23]</w:t>
      </w:r>
    </w:p>
    <w:p>
      <w:pPr>
        <w:numPr>
          <w:ilvl w:val="0"/>
          <w:numId w:val="9"/>
        </w:numPr>
        <w:spacing w:line="360" w:before="105" w:after="105" w:lineRule="auto"/>
      </w:pPr>
      <w:r>
        <w:rPr>
          <w:rFonts w:eastAsia="georgia" w:cs="georgia" w:ascii="georgia" w:hAnsi="georgia"/>
          <w:color w:val="000000"/>
          <w:sz w:val="21"/>
        </w:rPr>
        <w:t xml:space="preserve">Influence on autophagy‑linked resolution mechanisms during tissue repair.[file:23]</w:t>
      </w:r>
    </w:p>
    <w:p>
      <w:pPr>
        <w:numPr>
          <w:ilvl w:val="0"/>
          <w:numId w:val="9"/>
        </w:numPr>
        <w:spacing w:line="360" w:before="105" w:after="105" w:lineRule="auto"/>
      </w:pPr>
      <w:r>
        <w:rPr>
          <w:rFonts w:eastAsia="georgia" w:cs="georgia" w:ascii="georgia" w:hAnsi="georgia"/>
          <w:color w:val="000000"/>
          <w:sz w:val="21"/>
        </w:rPr>
        <w:t xml:space="preserve">Modulation of fibrotic signaling pathways and excessive collagen deposition in various tissues.[file:23]</w:t>
      </w:r>
    </w:p>
    <w:p>
      <w:pPr>
        <w:numPr>
          <w:ilvl w:val="0"/>
          <w:numId w:val="9"/>
        </w:numPr>
        <w:spacing w:line="360" w:before="105" w:after="105" w:lineRule="auto"/>
      </w:pPr>
      <w:r>
        <w:rPr>
          <w:rFonts w:eastAsia="georgia" w:cs="georgia" w:ascii="georgia" w:hAnsi="georgia"/>
          <w:color w:val="000000"/>
          <w:sz w:val="21"/>
        </w:rPr>
        <w:t xml:space="preserve">Interactions with NF‑κB signaling, laminin‑332 expression, and other matrix‑linked regulatory axes.[file:23]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pharmacokinetic_profile_and_exper_897d09"/>
      <w:r>
        <w:rPr>
          <w:rFonts w:eastAsia="georgia" w:cs="georgia" w:ascii="georgia" w:hAnsi="georgia"/>
          <w:b/>
          <w:color w:val="000000"/>
          <w:sz w:val="24"/>
        </w:rPr>
        <w:t xml:space="preserve">Pharmacokinetic profile and experimental design considerations (preclinical)</w:t>
      </w:r>
      <w:bookmarkEnd w:id="14"/>
    </w:p>
    <w:p>
      <w:pPr>
        <w:spacing w:line="360" w:before="315" w:after="105" w:lineRule="auto"/>
        <w:ind w:left="-30"/>
        <w:jc w:val="left"/>
      </w:pPr>
      <w:bookmarkStart w:id="15" w:name="absorption_distribution_metabolis_674f50"/>
      <w:r>
        <w:rPr>
          <w:rFonts w:eastAsia="georgia" w:cs="georgia" w:ascii="georgia" w:hAnsi="georgia"/>
          <w:b/>
          <w:color w:val="000000"/>
          <w:sz w:val="24"/>
        </w:rPr>
        <w:t xml:space="preserve">Absorption, distribution, metabolism, and elimination</w:t>
      </w:r>
      <w:bookmarkEnd w:id="15"/>
    </w:p>
    <w:p>
      <w:pPr>
        <w:spacing w:line="360" w:after="210" w:lineRule="auto"/>
      </w:pPr>
      <w:r>
        <w:rPr>
          <w:rFonts w:eastAsia="georgia" w:cs="georgia" w:ascii="georgia" w:hAnsi="georgia"/>
          <w:color w:val="000000"/>
        </w:rPr>
        <w:t xml:space="preserve">While pharmacokinetic data can vary across models, preclinical work provides general guidance for designing TB‑500 experiments:[file:23]</w:t>
      </w:r>
    </w:p>
    <w:p>
      <w:pPr>
        <w:numPr>
          <w:ilvl w:val="0"/>
          <w:numId w:val="10"/>
        </w:numPr>
        <w:spacing w:line="360" w:before="105" w:after="105" w:lineRule="auto"/>
      </w:pPr>
      <w:r>
        <w:rPr>
          <w:rFonts w:eastAsia="georgia" w:cs="georgia" w:ascii="georgia" w:hAnsi="georgia"/>
          <w:b/>
          <w:color w:val="000000"/>
          <w:sz w:val="21"/>
        </w:rPr>
        <w:t xml:space="preserve">Routes of administration (animal studies)</w:t>
      </w:r>
      <w:r>
        <w:rPr>
          <w:rFonts w:eastAsia="georgia" w:cs="georgia" w:ascii="georgia" w:hAnsi="georgia"/>
          <w:color w:val="000000"/>
          <w:sz w:val="21"/>
        </w:rPr>
        <w:t xml:space="preserve"> – intravenous (IV), intramuscular (IM), subcutaneous (SC), and intraperitoneal (IP) routes have all been used to achieve systemic exposure.[file:23]</w:t>
      </w:r>
    </w:p>
    <w:p>
      <w:pPr>
        <w:numPr>
          <w:ilvl w:val="0"/>
          <w:numId w:val="10"/>
        </w:numPr>
        <w:spacing w:line="360" w:before="105" w:after="105" w:lineRule="auto"/>
      </w:pPr>
      <w:r>
        <w:rPr>
          <w:rFonts w:eastAsia="georgia" w:cs="georgia" w:ascii="georgia" w:hAnsi="georgia"/>
          <w:b/>
          <w:color w:val="000000"/>
          <w:sz w:val="21"/>
        </w:rPr>
        <w:t xml:space="preserve">Absorption and distribution</w:t>
      </w:r>
      <w:r>
        <w:rPr>
          <w:rFonts w:eastAsia="georgia" w:cs="georgia" w:ascii="georgia" w:hAnsi="georgia"/>
          <w:color w:val="000000"/>
          <w:sz w:val="21"/>
        </w:rPr>
        <w:t xml:space="preserve"> – TB‑500 is rapidly absorbed from SC and IM sites, with distribution observed across multiple organs, including injured tissues, in animal models.[file:23]</w:t>
      </w:r>
    </w:p>
    <w:p>
      <w:pPr>
        <w:numPr>
          <w:ilvl w:val="0"/>
          <w:numId w:val="10"/>
        </w:numPr>
        <w:spacing w:line="360" w:before="105" w:after="105" w:lineRule="auto"/>
      </w:pPr>
      <w:r>
        <w:rPr>
          <w:rFonts w:eastAsia="georgia" w:cs="georgia" w:ascii="georgia" w:hAnsi="georgia"/>
          <w:b/>
          <w:color w:val="000000"/>
          <w:sz w:val="21"/>
        </w:rPr>
        <w:t xml:space="preserve">Half‑life and clearance</w:t>
      </w:r>
      <w:r>
        <w:rPr>
          <w:rFonts w:eastAsia="georgia" w:cs="georgia" w:ascii="georgia" w:hAnsi="georgia"/>
          <w:color w:val="000000"/>
          <w:sz w:val="21"/>
        </w:rPr>
        <w:t xml:space="preserve"> – some animal studies report an extended functional half‑life on the order of days, reflecting both plasma kinetics and tissue retention; this allows for relatively infrequent dosing in many protocols compared with shorter peptides.[file:23]</w:t>
      </w:r>
    </w:p>
    <w:p>
      <w:pPr>
        <w:numPr>
          <w:ilvl w:val="0"/>
          <w:numId w:val="10"/>
        </w:numPr>
        <w:spacing w:line="360" w:before="105" w:after="105" w:lineRule="auto"/>
      </w:pPr>
      <w:r>
        <w:rPr>
          <w:rFonts w:eastAsia="georgia" w:cs="georgia" w:ascii="georgia" w:hAnsi="georgia"/>
          <w:b/>
          <w:color w:val="000000"/>
          <w:sz w:val="21"/>
        </w:rPr>
        <w:t xml:space="preserve">Metabolic stability</w:t>
      </w:r>
      <w:r>
        <w:rPr>
          <w:rFonts w:eastAsia="georgia" w:cs="georgia" w:ascii="georgia" w:hAnsi="georgia"/>
          <w:color w:val="000000"/>
          <w:sz w:val="21"/>
        </w:rPr>
        <w:t xml:space="preserve"> – the peptide shows sufficient stability to support prolonged experimental windows, though exact stability depends on species, route, and experimental conditions.[file:23]</w:t>
      </w:r>
    </w:p>
    <w:p>
      <w:pPr>
        <w:spacing w:line="360" w:before="315" w:after="105" w:lineRule="auto"/>
        <w:ind w:left="-30"/>
        <w:jc w:val="left"/>
      </w:pPr>
      <w:bookmarkStart w:id="16" w:name="experimental_planning"/>
      <w:r>
        <w:rPr>
          <w:rFonts w:eastAsia="georgia" w:cs="georgia" w:ascii="georgia" w:hAnsi="georgia"/>
          <w:b/>
          <w:color w:val="000000"/>
          <w:sz w:val="24"/>
        </w:rPr>
        <w:t xml:space="preserve">Experimental planning</w:t>
      </w:r>
      <w:bookmarkEnd w:id="16"/>
    </w:p>
    <w:p>
      <w:pPr>
        <w:spacing w:line="360" w:after="210" w:lineRule="auto"/>
      </w:pPr>
      <w:r>
        <w:rPr>
          <w:rFonts w:eastAsia="georgia" w:cs="georgia" w:ascii="georgia" w:hAnsi="georgia"/>
          <w:color w:val="000000"/>
        </w:rPr>
        <w:t xml:space="preserve">When using TB‑500 in research, published work suggests several practical considerations:[file:23]</w:t>
      </w:r>
    </w:p>
    <w:p>
      <w:pPr>
        <w:numPr>
          <w:ilvl w:val="0"/>
          <w:numId w:val="11"/>
        </w:numPr>
        <w:spacing w:line="360" w:before="105" w:after="105" w:lineRule="auto"/>
      </w:pPr>
      <w:r>
        <w:rPr>
          <w:rFonts w:eastAsia="georgia" w:cs="georgia" w:ascii="georgia" w:hAnsi="georgia"/>
          <w:color w:val="000000"/>
          <w:sz w:val="21"/>
        </w:rPr>
        <w:t xml:space="preserve">Select concentration ranges (in vitro) or dose levels (in vivo) appropriate for the model, endpoints, and readouts being studied.</w:t>
      </w:r>
    </w:p>
    <w:p>
      <w:pPr>
        <w:numPr>
          <w:ilvl w:val="0"/>
          <w:numId w:val="11"/>
        </w:numPr>
        <w:spacing w:line="360" w:before="105" w:after="105" w:lineRule="auto"/>
      </w:pPr>
      <w:r>
        <w:rPr>
          <w:rFonts w:eastAsia="georgia" w:cs="georgia" w:ascii="georgia" w:hAnsi="georgia"/>
          <w:color w:val="000000"/>
          <w:sz w:val="21"/>
        </w:rPr>
        <w:t xml:space="preserve">Align sampling time points with both early signaling events (minutes to hours) and longer‑term structural outcomes (days to weeks).</w:t>
      </w:r>
    </w:p>
    <w:p>
      <w:pPr>
        <w:numPr>
          <w:ilvl w:val="0"/>
          <w:numId w:val="11"/>
        </w:numPr>
        <w:spacing w:line="360" w:before="105" w:after="105" w:lineRule="auto"/>
      </w:pPr>
      <w:r>
        <w:rPr>
          <w:rFonts w:eastAsia="georgia" w:cs="georgia" w:ascii="georgia" w:hAnsi="georgia"/>
          <w:color w:val="000000"/>
          <w:sz w:val="21"/>
        </w:rPr>
        <w:t xml:space="preserve">Choose routes of administration compatible with the research question (for example, systemic vs. localized exposure) and ethical protocols.</w:t>
      </w:r>
    </w:p>
    <w:p>
      <w:pPr>
        <w:numPr>
          <w:ilvl w:val="0"/>
          <w:numId w:val="11"/>
        </w:numPr>
        <w:spacing w:line="360" w:before="105" w:after="105" w:lineRule="auto"/>
      </w:pPr>
      <w:r>
        <w:rPr>
          <w:rFonts w:eastAsia="georgia" w:cs="georgia" w:ascii="georgia" w:hAnsi="georgia"/>
          <w:color w:val="000000"/>
          <w:sz w:val="21"/>
        </w:rPr>
        <w:t xml:space="preserve">Include appropriate vehicle controls, positive controls (where relevant), and comparator compounds.</w:t>
      </w:r>
    </w:p>
    <w:p>
      <w:pPr>
        <w:spacing w:line="360" w:after="210" w:lineRule="auto"/>
      </w:pPr>
      <w:r>
        <w:rPr>
          <w:rFonts w:eastAsia="georgia" w:cs="georgia" w:ascii="georgia" w:hAnsi="georgia"/>
          <w:color w:val="000000"/>
        </w:rPr>
        <w:t xml:space="preserve">All experimental design decisions remain the responsibility of the investigator and the overseeing institution.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laboratory_handling_reconstitutio_798a56"/>
      <w:r>
        <w:rPr>
          <w:rFonts w:eastAsia="georgia" w:cs="georgia" w:ascii="georgia" w:hAnsi="georgia"/>
          <w:b/>
          <w:color w:val="000000"/>
          <w:sz w:val="24"/>
        </w:rPr>
        <w:t xml:space="preserve">Laboratory handling, reconstitution, and storage</w:t>
      </w:r>
      <w:bookmarkEnd w:id="17"/>
    </w:p>
    <w:p>
      <w:pPr>
        <w:spacing w:line="360" w:before="315" w:after="105" w:lineRule="auto"/>
        <w:ind w:left="-30"/>
        <w:jc w:val="left"/>
      </w:pPr>
      <w:bookmarkStart w:id="18" w:name="lyophilized_peptide_storage"/>
      <w:r>
        <w:rPr>
          <w:rFonts w:eastAsia="georgia" w:cs="georgia" w:ascii="georgia" w:hAnsi="georgia"/>
          <w:b/>
          <w:color w:val="000000"/>
          <w:sz w:val="24"/>
        </w:rPr>
        <w:t xml:space="preserve">Lyophilized peptide storage</w:t>
      </w:r>
      <w:bookmarkEnd w:id="18"/>
    </w:p>
    <w:p>
      <w:pPr>
        <w:numPr>
          <w:ilvl w:val="0"/>
          <w:numId w:val="12"/>
        </w:numPr>
        <w:spacing w:line="360" w:before="105" w:after="105" w:lineRule="auto"/>
      </w:pPr>
      <w:r>
        <w:rPr>
          <w:rFonts w:eastAsia="georgia" w:cs="georgia" w:ascii="georgia" w:hAnsi="georgia"/>
          <w:color w:val="000000"/>
          <w:sz w:val="21"/>
        </w:rPr>
        <w:t xml:space="preserve">Store TB‑500 vials at −20 °C to −80 °C in their original, tightly sealed containers.[file:23]</w:t>
      </w:r>
    </w:p>
    <w:p>
      <w:pPr>
        <w:numPr>
          <w:ilvl w:val="0"/>
          <w:numId w:val="12"/>
        </w:numPr>
        <w:spacing w:line="360" w:before="105" w:after="105" w:lineRule="auto"/>
      </w:pPr>
      <w:r>
        <w:rPr>
          <w:rFonts w:eastAsia="georgia" w:cs="georgia" w:ascii="georgia" w:hAnsi="georgia"/>
          <w:color w:val="000000"/>
          <w:sz w:val="21"/>
        </w:rPr>
        <w:t xml:space="preserve">Protect from light and moisture; desiccated storage is recommended.</w:t>
      </w:r>
    </w:p>
    <w:p>
      <w:pPr>
        <w:numPr>
          <w:ilvl w:val="0"/>
          <w:numId w:val="12"/>
        </w:numPr>
        <w:spacing w:line="360" w:before="105" w:after="105" w:lineRule="auto"/>
      </w:pPr>
      <w:r>
        <w:rPr>
          <w:rFonts w:eastAsia="georgia" w:cs="georgia" w:ascii="georgia" w:hAnsi="georgia"/>
          <w:color w:val="000000"/>
          <w:sz w:val="21"/>
        </w:rPr>
        <w:t xml:space="preserve">Avoid repeated transitions between cold storage and room temperature.</w:t>
      </w:r>
    </w:p>
    <w:p>
      <w:pPr>
        <w:spacing w:line="360" w:before="315" w:after="105" w:lineRule="auto"/>
        <w:ind w:left="-30"/>
        <w:jc w:val="left"/>
      </w:pPr>
      <w:bookmarkStart w:id="19" w:name="reconstitution"/>
      <w:r>
        <w:rPr>
          <w:rFonts w:eastAsia="georgia" w:cs="georgia" w:ascii="georgia" w:hAnsi="georgia"/>
          <w:b/>
          <w:color w:val="000000"/>
          <w:sz w:val="24"/>
        </w:rPr>
        <w:t xml:space="preserve">Reconstitution</w:t>
      </w:r>
      <w:bookmarkEnd w:id="19"/>
    </w:p>
    <w:p>
      <w:pPr>
        <w:numPr>
          <w:ilvl w:val="0"/>
          <w:numId w:val="13"/>
        </w:numPr>
        <w:spacing w:line="360" w:before="105" w:after="105" w:lineRule="auto"/>
      </w:pPr>
      <w:r>
        <w:rPr>
          <w:rFonts w:eastAsia="georgia" w:cs="georgia" w:ascii="georgia" w:hAnsi="georgia"/>
          <w:color w:val="000000"/>
          <w:sz w:val="21"/>
        </w:rPr>
        <w:t xml:space="preserve">Reconstitute using sterile water, bacteriostatic water (e.g., 0.9% benzyl alcohol), or a suitable sterile buffer depending on the intended assay.[file:23]</w:t>
      </w:r>
    </w:p>
    <w:p>
      <w:pPr>
        <w:numPr>
          <w:ilvl w:val="0"/>
          <w:numId w:val="13"/>
        </w:numPr>
        <w:spacing w:line="360" w:before="105" w:after="105" w:lineRule="auto"/>
      </w:pPr>
      <w:r>
        <w:rPr>
          <w:rFonts w:eastAsia="georgia" w:cs="georgia" w:ascii="georgia" w:hAnsi="georgia"/>
          <w:color w:val="000000"/>
          <w:sz w:val="21"/>
        </w:rPr>
        <w:t xml:space="preserve">Allow the vial to reach room temperature briefly before opening to reduce condensation.</w:t>
      </w:r>
    </w:p>
    <w:p>
      <w:pPr>
        <w:numPr>
          <w:ilvl w:val="0"/>
          <w:numId w:val="13"/>
        </w:numPr>
        <w:spacing w:line="360" w:before="105" w:after="105" w:lineRule="auto"/>
      </w:pPr>
      <w:r>
        <w:rPr>
          <w:rFonts w:eastAsia="georgia" w:cs="georgia" w:ascii="georgia" w:hAnsi="georgia"/>
          <w:color w:val="000000"/>
          <w:sz w:val="21"/>
        </w:rPr>
        <w:t xml:space="preserve">Add solvent slowly down the inner wall of the vial and gently swirl or roll until the powder is completely dissolved; avoid vigorous shaking.[file:23]</w:t>
      </w:r>
    </w:p>
    <w:p>
      <w:pPr>
        <w:numPr>
          <w:ilvl w:val="0"/>
          <w:numId w:val="13"/>
        </w:numPr>
        <w:spacing w:line="360" w:before="105" w:after="105" w:lineRule="auto"/>
      </w:pPr>
      <w:r>
        <w:rPr>
          <w:rFonts w:eastAsia="georgia" w:cs="georgia" w:ascii="georgia" w:hAnsi="georgia"/>
          <w:color w:val="000000"/>
          <w:sz w:val="21"/>
        </w:rPr>
        <w:t xml:space="preserve">Typical research stock concentrations are 0.1–1 mg/mL, but final concentrations should be optimized for each model and readout.[file:23]</w:t>
      </w:r>
    </w:p>
    <w:p>
      <w:pPr>
        <w:spacing w:line="360" w:before="315" w:after="105" w:lineRule="auto"/>
        <w:ind w:left="-30"/>
        <w:jc w:val="left"/>
      </w:pPr>
      <w:bookmarkStart w:id="20" w:name="reconstituted_solution_storage"/>
      <w:r>
        <w:rPr>
          <w:rFonts w:eastAsia="georgia" w:cs="georgia" w:ascii="georgia" w:hAnsi="georgia"/>
          <w:b/>
          <w:color w:val="000000"/>
          <w:sz w:val="24"/>
        </w:rPr>
        <w:t xml:space="preserve">Reconstituted solution storage</w:t>
      </w:r>
      <w:bookmarkEnd w:id="20"/>
    </w:p>
    <w:p>
      <w:pPr>
        <w:numPr>
          <w:ilvl w:val="0"/>
          <w:numId w:val="14"/>
        </w:numPr>
        <w:spacing w:line="360" w:before="105" w:after="105" w:lineRule="auto"/>
      </w:pPr>
      <w:r>
        <w:rPr>
          <w:rFonts w:eastAsia="georgia" w:cs="georgia" w:ascii="georgia" w:hAnsi="georgia"/>
          <w:color w:val="000000"/>
          <w:sz w:val="21"/>
        </w:rPr>
        <w:t xml:space="preserve">Short‑term: store at 2–8 °C for up to approximately 1–2 weeks in sterile containers.[file:23]</w:t>
      </w:r>
    </w:p>
    <w:p>
      <w:pPr>
        <w:numPr>
          <w:ilvl w:val="0"/>
          <w:numId w:val="14"/>
        </w:numPr>
        <w:spacing w:line="360" w:before="105" w:after="105" w:lineRule="auto"/>
      </w:pPr>
      <w:r>
        <w:rPr>
          <w:rFonts w:eastAsia="georgia" w:cs="georgia" w:ascii="georgia" w:hAnsi="georgia"/>
          <w:color w:val="000000"/>
          <w:sz w:val="21"/>
        </w:rPr>
        <w:t xml:space="preserve">Long‑term: aliquot into single‑use volumes and store at −20 °C or below to minimize freeze–thaw cycles.[file:23]</w:t>
      </w:r>
    </w:p>
    <w:p>
      <w:pPr>
        <w:numPr>
          <w:ilvl w:val="0"/>
          <w:numId w:val="14"/>
        </w:numPr>
        <w:spacing w:line="360" w:before="105" w:after="105" w:lineRule="auto"/>
      </w:pPr>
      <w:r>
        <w:rPr>
          <w:rFonts w:eastAsia="georgia" w:cs="georgia" w:ascii="georgia" w:hAnsi="georgia"/>
          <w:color w:val="000000"/>
          <w:sz w:val="21"/>
        </w:rPr>
        <w:t xml:space="preserve">Avoid more than 2–3 freeze–thaw cycles; for very dilute solutions, consider adding a compatible carrier protein if consistent with downstream assays.[file:23]</w:t>
      </w:r>
    </w:p>
    <w:p>
      <w:pPr>
        <w:spacing w:line="360" w:after="210" w:lineRule="auto"/>
      </w:pPr>
      <w:r>
        <w:rPr>
          <w:rFonts w:eastAsia="georgia" w:cs="georgia" w:ascii="georgia" w:hAnsi="georgia"/>
          <w:color w:val="000000"/>
        </w:rPr>
        <w:t xml:space="preserve">These handling guidelines reflect typical peptide practice and published recommendations; each laboratory should confirm stability in its own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quality_purity_and_analytical_cha_7a98cc"/>
      <w:r>
        <w:rPr>
          <w:rFonts w:eastAsia="georgia" w:cs="georgia" w:ascii="georgia" w:hAnsi="georgia"/>
          <w:b/>
          <w:color w:val="000000"/>
          <w:sz w:val="24"/>
        </w:rPr>
        <w:t xml:space="preserve">Quality, purity, and analytical characterization</w:t>
      </w:r>
      <w:bookmarkEnd w:id="21"/>
    </w:p>
    <w:p>
      <w:pPr>
        <w:spacing w:line="360" w:after="210" w:lineRule="auto"/>
      </w:pPr>
      <w:r>
        <w:rPr>
          <w:rFonts w:eastAsia="georgia" w:cs="georgia" w:ascii="georgia" w:hAnsi="georgia"/>
          <w:color w:val="000000"/>
        </w:rPr>
        <w:t xml:space="preserve">Each batch of TB‑500 is generally characterized using analytical methods standard for research‑grade peptides.[file:23]</w:t>
      </w:r>
    </w:p>
    <w:p>
      <w:pPr>
        <w:spacing w:line="360" w:after="210" w:lineRule="auto"/>
      </w:pPr>
      <w:r>
        <w:rPr>
          <w:rFonts w:eastAsia="georgia" w:cs="georgia" w:ascii="georgia" w:hAnsi="georgia"/>
          <w:color w:val="000000"/>
        </w:rPr>
        <w:t xml:space="preserve">A representative quality profile includes:</w:t>
      </w:r>
    </w:p>
    <w:p>
      <w:pPr>
        <w:numPr>
          <w:ilvl w:val="0"/>
          <w:numId w:val="15"/>
        </w:numPr>
        <w:spacing w:line="360" w:after="210" w:lineRule="auto"/>
      </w:pPr>
      <w:r>
        <w:rPr>
          <w:rFonts w:eastAsia="georgia" w:cs="georgia" w:ascii="georgia" w:hAnsi="georgia"/>
          <w:b/>
          <w:color w:val="000000"/>
          <w:sz w:val="21"/>
        </w:rPr>
        <w:t xml:space="preserve">Purity</w:t>
      </w:r>
    </w:p>
    <w:p>
      <w:pPr>
        <w:numPr>
          <w:ilvl w:val="1"/>
          <w:numId w:val="15"/>
        </w:numPr>
        <w:spacing w:line="360" w:before="105" w:after="105" w:lineRule="auto"/>
      </w:pPr>
      <w:r>
        <w:rPr>
          <w:rFonts w:eastAsia="georgia" w:cs="georgia" w:ascii="georgia" w:hAnsi="georgia"/>
          <w:color w:val="000000"/>
          <w:sz w:val="21"/>
        </w:rPr>
        <w:t xml:space="preserve">≥ 98% purity by reversed‑phase HPLC.</w:t>
      </w:r>
    </w:p>
    <w:p>
      <w:pPr>
        <w:numPr>
          <w:ilvl w:val="1"/>
          <w:numId w:val="15"/>
        </w:numPr>
        <w:spacing w:line="360" w:before="105" w:after="105" w:lineRule="auto"/>
      </w:pPr>
      <w:r>
        <w:rPr>
          <w:rFonts w:eastAsia="georgia" w:cs="georgia" w:ascii="georgia" w:hAnsi="georgia"/>
          <w:color w:val="000000"/>
          <w:sz w:val="21"/>
        </w:rPr>
        <w:t xml:space="preserve">UV detection at wavelengths suitable for peptide bonds (for example, around 214 nm).</w:t>
      </w:r>
    </w:p>
    <w:p>
      <w:pPr>
        <w:numPr>
          <w:ilvl w:val="1"/>
          <w:numId w:val="15"/>
        </w:numPr>
        <w:spacing w:line="360" w:before="105" w:after="105" w:lineRule="auto"/>
      </w:pPr>
      <w:r>
        <w:rPr>
          <w:rFonts w:eastAsia="georgia" w:cs="georgia" w:ascii="georgia" w:hAnsi="georgia"/>
          <w:color w:val="000000"/>
          <w:sz w:val="21"/>
        </w:rPr>
        <w:t xml:space="preserve">Peak integration and related‑substance profiling to confirm purity.[file:23]</w:t>
      </w:r>
    </w:p>
    <w:p>
      <w:pPr>
        <w:numPr>
          <w:ilvl w:val="0"/>
          <w:numId w:val="15"/>
        </w:numPr>
        <w:spacing w:line="360" w:after="210" w:lineRule="auto"/>
      </w:pPr>
      <w:r>
        <w:rPr>
          <w:rFonts w:eastAsia="georgia" w:cs="georgia" w:ascii="georgia" w:hAnsi="georgia"/>
          <w:b/>
          <w:color w:val="000000"/>
          <w:sz w:val="21"/>
        </w:rPr>
        <w:t xml:space="preserve">Identity and content</w:t>
      </w:r>
    </w:p>
    <w:p>
      <w:pPr>
        <w:numPr>
          <w:ilvl w:val="1"/>
          <w:numId w:val="15"/>
        </w:numPr>
        <w:spacing w:line="360" w:before="105" w:after="105" w:lineRule="auto"/>
      </w:pPr>
      <w:r>
        <w:rPr>
          <w:rFonts w:eastAsia="georgia" w:cs="georgia" w:ascii="georgia" w:hAnsi="georgia"/>
          <w:color w:val="000000"/>
          <w:sz w:val="21"/>
        </w:rPr>
        <w:t xml:space="preserve">Electrospray ionization mass spectrometry (ESI‑MS) confirming the expected molecular weight (~4,963.4 Da).[file:23]</w:t>
      </w:r>
    </w:p>
    <w:p>
      <w:pPr>
        <w:numPr>
          <w:ilvl w:val="1"/>
          <w:numId w:val="15"/>
        </w:numPr>
        <w:spacing w:line="360" w:before="105" w:after="105" w:lineRule="auto"/>
      </w:pPr>
      <w:r>
        <w:rPr>
          <w:rFonts w:eastAsia="georgia" w:cs="georgia" w:ascii="georgia" w:hAnsi="georgia"/>
          <w:color w:val="000000"/>
          <w:sz w:val="21"/>
        </w:rPr>
        <w:t xml:space="preserve">Amino‑acid analysis to verify sequence composition.</w:t>
      </w:r>
    </w:p>
    <w:p>
      <w:pPr>
        <w:numPr>
          <w:ilvl w:val="1"/>
          <w:numId w:val="15"/>
        </w:numPr>
        <w:spacing w:line="360" w:before="105" w:after="105" w:lineRule="auto"/>
      </w:pPr>
      <w:r>
        <w:rPr>
          <w:rFonts w:eastAsia="georgia" w:cs="georgia" w:ascii="georgia" w:hAnsi="georgia"/>
          <w:color w:val="000000"/>
          <w:sz w:val="21"/>
        </w:rPr>
        <w:t xml:space="preserve">Peptide content determination to estimate the fraction of active peptide in the lyophilized material.[file:23]</w:t>
      </w:r>
    </w:p>
    <w:p>
      <w:pPr>
        <w:numPr>
          <w:ilvl w:val="0"/>
          <w:numId w:val="15"/>
        </w:numPr>
        <w:spacing w:line="360" w:after="210" w:lineRule="auto"/>
      </w:pPr>
      <w:r>
        <w:rPr>
          <w:rFonts w:eastAsia="georgia" w:cs="georgia" w:ascii="georgia" w:hAnsi="georgia"/>
          <w:b/>
          <w:color w:val="000000"/>
          <w:sz w:val="21"/>
        </w:rPr>
        <w:t xml:space="preserve">Contaminant and stability testing</w:t>
      </w:r>
    </w:p>
    <w:p>
      <w:pPr>
        <w:numPr>
          <w:ilvl w:val="1"/>
          <w:numId w:val="15"/>
        </w:numPr>
        <w:spacing w:line="360" w:before="105" w:after="105" w:lineRule="auto"/>
      </w:pPr>
      <w:r>
        <w:rPr>
          <w:rFonts w:eastAsia="georgia" w:cs="georgia" w:ascii="georgia" w:hAnsi="georgia"/>
          <w:color w:val="000000"/>
          <w:sz w:val="21"/>
        </w:rPr>
        <w:t xml:space="preserve">Bacterial endotoxin testing (for example, &lt; 5 EU/mg) using LAL methods where specified.[file:23]</w:t>
      </w:r>
    </w:p>
    <w:p>
      <w:pPr>
        <w:numPr>
          <w:ilvl w:val="1"/>
          <w:numId w:val="15"/>
        </w:numPr>
        <w:spacing w:line="360" w:before="105" w:after="105" w:lineRule="auto"/>
      </w:pPr>
      <w:r>
        <w:rPr>
          <w:rFonts w:eastAsia="georgia" w:cs="georgia" w:ascii="georgia" w:hAnsi="georgia"/>
          <w:color w:val="000000"/>
          <w:sz w:val="21"/>
        </w:rPr>
        <w:t xml:space="preserve">Heavy metal and residual solvent analysis in line with typical research‑grade acceptance limits.[file:23]</w:t>
      </w:r>
    </w:p>
    <w:p>
      <w:pPr>
        <w:numPr>
          <w:ilvl w:val="1"/>
          <w:numId w:val="15"/>
        </w:numPr>
        <w:spacing w:line="360" w:before="105" w:after="105" w:lineRule="auto"/>
      </w:pPr>
      <w:r>
        <w:rPr>
          <w:rFonts w:eastAsia="georgia" w:cs="georgia" w:ascii="georgia" w:hAnsi="georgia"/>
          <w:color w:val="000000"/>
          <w:sz w:val="21"/>
        </w:rPr>
        <w:t xml:space="preserve">Water content measurement for lyophilized powder (e.g., Karl Fischer titration).[file:23]</w:t>
      </w:r>
    </w:p>
    <w:p>
      <w:pPr>
        <w:numPr>
          <w:ilvl w:val="1"/>
          <w:numId w:val="15"/>
        </w:numPr>
        <w:spacing w:line="360" w:before="105" w:after="105" w:lineRule="auto"/>
      </w:pPr>
      <w:r>
        <w:rPr>
          <w:rFonts w:eastAsia="georgia" w:cs="georgia" w:ascii="georgia" w:hAnsi="georgia"/>
          <w:color w:val="000000"/>
          <w:sz w:val="21"/>
        </w:rPr>
        <w:t xml:space="preserve">Stability data at recommended storage temperatures, including freeze–thaw tolerance and solution stability in common buffers.[file:23]</w:t>
      </w:r>
    </w:p>
    <w:p>
      <w:pPr>
        <w:spacing w:line="360" w:after="210" w:lineRule="auto"/>
      </w:pPr>
      <w:r>
        <w:rPr>
          <w:rFonts w:eastAsia="georgia" w:cs="georgia" w:ascii="georgia" w:hAnsi="georgia"/>
          <w:color w:val="000000"/>
        </w:rPr>
        <w:t xml:space="preserve">Researchers should always consult the batch‑specific Certificate of Analysis (COA) for detailed analytical results and methods for the lot they are using.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example_research_usage_patterns_i_dec346"/>
      <w:r>
        <w:rPr>
          <w:rFonts w:eastAsia="georgia" w:cs="georgia" w:ascii="georgia" w:hAnsi="georgia"/>
          <w:b/>
          <w:color w:val="000000"/>
          <w:sz w:val="24"/>
        </w:rPr>
        <w:t xml:space="preserve">Example research usage patterns (illustrative, non‑prescriptive)</w:t>
      </w:r>
      <w:bookmarkEnd w:id="22"/>
    </w:p>
    <w:p>
      <w:pPr>
        <w:spacing w:line="360" w:after="210" w:lineRule="auto"/>
      </w:pPr>
      <w:r>
        <w:rPr>
          <w:rFonts w:eastAsia="georgia" w:cs="georgia" w:ascii="georgia" w:hAnsi="georgia"/>
          <w:color w:val="000000"/>
        </w:rPr>
        <w:t xml:space="preserve">The scientific and technical literature provides example use cases that can guide conceptual experimental design; these are not usage instructions or recommendations.[file:23]</w:t>
      </w:r>
    </w:p>
    <w:p>
      <w:pPr>
        <w:numPr>
          <w:ilvl w:val="0"/>
          <w:numId w:val="16"/>
        </w:numPr>
        <w:spacing w:line="360" w:after="210" w:lineRule="auto"/>
      </w:pPr>
      <w:r>
        <w:rPr>
          <w:rFonts w:eastAsia="georgia" w:cs="georgia" w:ascii="georgia" w:hAnsi="georgia"/>
          <w:b/>
          <w:color w:val="000000"/>
          <w:sz w:val="21"/>
        </w:rPr>
        <w:t xml:space="preserve">In‑vitro assays</w:t>
      </w:r>
    </w:p>
    <w:p>
      <w:pPr>
        <w:numPr>
          <w:ilvl w:val="1"/>
          <w:numId w:val="16"/>
        </w:numPr>
        <w:spacing w:line="360" w:before="105" w:after="105" w:lineRule="auto"/>
      </w:pPr>
      <w:r>
        <w:rPr>
          <w:rFonts w:eastAsia="georgia" w:cs="georgia" w:ascii="georgia" w:hAnsi="georgia"/>
          <w:color w:val="000000"/>
          <w:sz w:val="21"/>
        </w:rPr>
        <w:t xml:space="preserve">Applying TB‑500 to cultured cells (for example, endothelial cells, keratinocytes, fibroblasts, cardiomyocytes, neural cells) to assess migration, proliferation, survival, and gene expression changes.[file:23]</w:t>
      </w:r>
    </w:p>
    <w:p>
      <w:pPr>
        <w:numPr>
          <w:ilvl w:val="1"/>
          <w:numId w:val="16"/>
        </w:numPr>
        <w:spacing w:line="360" w:before="105" w:after="105" w:lineRule="auto"/>
      </w:pPr>
      <w:r>
        <w:rPr>
          <w:rFonts w:eastAsia="georgia" w:cs="georgia" w:ascii="georgia" w:hAnsi="georgia"/>
          <w:color w:val="000000"/>
          <w:sz w:val="21"/>
        </w:rPr>
        <w:t xml:space="preserve">Using scratch assays, transwell migration systems, and live‑cell imaging to study cell movement and wound closure.[file:23]</w:t>
      </w:r>
    </w:p>
    <w:p>
      <w:pPr>
        <w:numPr>
          <w:ilvl w:val="0"/>
          <w:numId w:val="16"/>
        </w:numPr>
        <w:spacing w:line="360" w:after="210" w:lineRule="auto"/>
      </w:pPr>
      <w:r>
        <w:rPr>
          <w:rFonts w:eastAsia="georgia" w:cs="georgia" w:ascii="georgia" w:hAnsi="georgia"/>
          <w:b/>
          <w:color w:val="000000"/>
          <w:sz w:val="21"/>
        </w:rPr>
        <w:t xml:space="preserve">Ex‑vivo and organotypic models</w:t>
      </w:r>
    </w:p>
    <w:p>
      <w:pPr>
        <w:numPr>
          <w:ilvl w:val="1"/>
          <w:numId w:val="16"/>
        </w:numPr>
        <w:spacing w:line="360" w:before="105" w:after="105" w:lineRule="auto"/>
      </w:pPr>
      <w:r>
        <w:rPr>
          <w:rFonts w:eastAsia="georgia" w:cs="georgia" w:ascii="georgia" w:hAnsi="georgia"/>
          <w:color w:val="000000"/>
          <w:sz w:val="21"/>
        </w:rPr>
        <w:t xml:space="preserve">Treating tissue explants or organotypic slice cultures (for example, heart, liver, brain) to examine structural and functional responses under controlled conditions.[file:23]</w:t>
      </w:r>
    </w:p>
    <w:p>
      <w:pPr>
        <w:numPr>
          <w:ilvl w:val="0"/>
          <w:numId w:val="16"/>
        </w:numPr>
        <w:spacing w:line="360" w:after="210" w:lineRule="auto"/>
      </w:pPr>
      <w:r>
        <w:rPr>
          <w:rFonts w:eastAsia="georgia" w:cs="georgia" w:ascii="georgia" w:hAnsi="georgia"/>
          <w:b/>
          <w:color w:val="000000"/>
          <w:sz w:val="21"/>
        </w:rPr>
        <w:t xml:space="preserve">In‑vivo preclinical models</w:t>
      </w:r>
    </w:p>
    <w:p>
      <w:pPr>
        <w:numPr>
          <w:ilvl w:val="1"/>
          <w:numId w:val="16"/>
        </w:numPr>
        <w:spacing w:line="360" w:before="105" w:after="105" w:lineRule="auto"/>
      </w:pPr>
      <w:r>
        <w:rPr>
          <w:rFonts w:eastAsia="georgia" w:cs="georgia" w:ascii="georgia" w:hAnsi="georgia"/>
          <w:color w:val="000000"/>
          <w:sz w:val="21"/>
        </w:rPr>
        <w:t xml:space="preserve">Incorporating TB‑500 into animal models of dermal wound healing, myocardial infarction, ischemic limb disease, tendon and ligament injury, or experimental neurotrauma.[file:23]</w:t>
      </w:r>
    </w:p>
    <w:p>
      <w:pPr>
        <w:numPr>
          <w:ilvl w:val="1"/>
          <w:numId w:val="16"/>
        </w:numPr>
        <w:spacing w:line="360" w:before="105" w:after="105" w:lineRule="auto"/>
      </w:pPr>
      <w:r>
        <w:rPr>
          <w:rFonts w:eastAsia="georgia" w:cs="georgia" w:ascii="georgia" w:hAnsi="georgia"/>
          <w:color w:val="000000"/>
          <w:sz w:val="21"/>
        </w:rPr>
        <w:t xml:space="preserve">Using functional tests, imaging, histology, and molecular markers to quantify outcomes.</w:t>
      </w:r>
    </w:p>
    <w:p>
      <w:pPr>
        <w:spacing w:line="360" w:after="210" w:lineRule="auto"/>
      </w:pPr>
      <w:r>
        <w:rPr>
          <w:rFonts w:eastAsia="georgia" w:cs="georgia" w:ascii="georgia" w:hAnsi="georgia"/>
          <w:color w:val="000000"/>
        </w:rPr>
        <w:t xml:space="preserve">Every study must be designed and justified by the investigator and reviewed by appropriate ethical and regulatory committees.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why_this_material_description_fit_436824"/>
      <w:r>
        <w:rPr>
          <w:rFonts w:eastAsia="georgia" w:cs="georgia" w:ascii="georgia" w:hAnsi="georgia"/>
          <w:b/>
          <w:color w:val="000000"/>
          <w:sz w:val="24"/>
        </w:rPr>
        <w:t xml:space="preserve">Why this material description fits a research e‑commerce product page</w:t>
      </w:r>
      <w:bookmarkEnd w:id="23"/>
    </w:p>
    <w:p>
      <w:pPr>
        <w:spacing w:line="360" w:after="210" w:lineRule="auto"/>
      </w:pPr>
      <w:r>
        <w:rPr>
          <w:rFonts w:eastAsia="georgia" w:cs="georgia" w:ascii="georgia" w:hAnsi="georgia"/>
          <w:color w:val="000000"/>
        </w:rPr>
        <w:t xml:space="preserve">This material description is structured so that a research‑oriented buyer can quickly find the information they need while keeping compliance language clear:</w:t>
      </w:r>
    </w:p>
    <w:p>
      <w:pPr>
        <w:numPr>
          <w:ilvl w:val="0"/>
          <w:numId w:val="17"/>
        </w:numPr>
        <w:spacing w:line="360" w:before="105" w:after="105" w:lineRule="auto"/>
      </w:pPr>
      <w:r>
        <w:rPr>
          <w:rFonts w:eastAsia="georgia" w:cs="georgia" w:ascii="georgia" w:hAnsi="georgia"/>
          <w:color w:val="000000"/>
          <w:sz w:val="21"/>
        </w:rPr>
        <w:t xml:space="preserve">Consolidated specifications (sequence, molecular data, purity, storage) for technical review.[file:23]</w:t>
      </w:r>
    </w:p>
    <w:p>
      <w:pPr>
        <w:numPr>
          <w:ilvl w:val="0"/>
          <w:numId w:val="17"/>
        </w:numPr>
        <w:spacing w:line="360" w:before="105" w:after="105" w:lineRule="auto"/>
      </w:pPr>
      <w:r>
        <w:rPr>
          <w:rFonts w:eastAsia="georgia" w:cs="georgia" w:ascii="georgia" w:hAnsi="georgia"/>
          <w:color w:val="000000"/>
          <w:sz w:val="21"/>
        </w:rPr>
        <w:t xml:space="preserve">Extended background on thymosin beta‑4 domains, actin binding, and key research application areas.</w:t>
      </w:r>
    </w:p>
    <w:p>
      <w:pPr>
        <w:numPr>
          <w:ilvl w:val="0"/>
          <w:numId w:val="17"/>
        </w:numPr>
        <w:spacing w:line="360" w:before="105" w:after="105" w:lineRule="auto"/>
      </w:pPr>
      <w:r>
        <w:rPr>
          <w:rFonts w:eastAsia="georgia" w:cs="georgia" w:ascii="georgia" w:hAnsi="georgia"/>
          <w:color w:val="000000"/>
          <w:sz w:val="21"/>
        </w:rPr>
        <w:t xml:space="preserve">Practical handling and quality sections aligned with how peptide buyers typically evaluate research reagents.[file:23]</w:t>
      </w:r>
    </w:p>
    <w:p>
      <w:pPr>
        <w:numPr>
          <w:ilvl w:val="0"/>
          <w:numId w:val="17"/>
        </w:numPr>
        <w:spacing w:line="360" w:before="105" w:after="105" w:lineRule="auto"/>
      </w:pPr>
      <w:r>
        <w:rPr>
          <w:rFonts w:eastAsia="georgia" w:cs="georgia" w:ascii="georgia" w:hAnsi="georgia"/>
          <w:color w:val="000000"/>
          <w:sz w:val="21"/>
        </w:rPr>
        <w:t xml:space="preserve">A dedicated research‑only compliance notice that can be mirrored in banners or warning boxes on the live page.</w:t>
      </w:r>
    </w:p>
    <w:p>
      <w:pPr>
        <w:spacing w:line="360" w:after="210" w:lineRule="auto"/>
      </w:pPr>
      <w:r>
        <w:rPr>
          <w:rFonts w:eastAsia="georgia" w:cs="georgia" w:ascii="georgia" w:hAnsi="georgia"/>
          <w:color w:val="000000"/>
        </w:rPr>
        <w:t xml:space="preserve">You can use this text directly, shorten it for the public product page, or split it into an on‑page description plus a downloadable technical sheet.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research_only_and_compliance_notice"/>
      <w:r>
        <w:rPr>
          <w:rFonts w:eastAsia="georgia" w:cs="georgia" w:ascii="georgia" w:hAnsi="georgia"/>
          <w:b/>
          <w:color w:val="000000"/>
          <w:sz w:val="24"/>
        </w:rPr>
        <w:t xml:space="preserve">Research‑only and compliance notice</w:t>
      </w:r>
      <w:bookmarkEnd w:id="24"/>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TB‑500 (Thymosin Beta‑4) is supplied solely as a research chemical for in‑vitro and preclinical laboratory applications.[file:23] It is not a drug, food, cosmetic, dietary supplement, or medical product, and it has not been evaluated or approved by the FDA or any other regulatory authority for use in humans or animals.[file:23]</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under any circumstances outside properly approved research protocols. All handling should be restricted to qualified professionals working in appropriately equipped research facilities and operating under institutional safety, ethical, and compliance guidelines.[file:23]</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2026-04-27T16:51:52.324Z</dcterms:created>
  <dcterms:modified xsi:type="dcterms:W3CDTF">2026-04-27T16:51:52.324Z</dcterms:modified>
</cp:coreProperties>
</file>