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tesamorelin_10_mg_growth_hormone_8e4848"/>
      <w:r>
        <w:rPr>
          <w:rFonts w:eastAsia="georgia" w:cs="georgia" w:ascii="georgia" w:hAnsi="georgia"/>
          <w:b/>
          <w:color w:val="000000"/>
          <w:sz w:val="39"/>
        </w:rPr>
        <w:t xml:space="preserve">Tesamorelin (10 mg) – Growth Hormone–Releasing Hormone (GHRH) Analog Research Peptide</w:t>
      </w:r>
      <w:bookmarkEnd w:id="0"/>
    </w:p>
    <w:p>
      <w:pPr>
        <w:spacing w:line="360" w:before="315" w:after="105" w:lineRule="auto"/>
        <w:ind w:left="-30"/>
        <w:jc w:val="left"/>
      </w:pPr>
      <w:bookmarkStart w:id="1" w:name="product_overview"/>
      <w:r>
        <w:rPr>
          <w:rFonts w:eastAsia="georgia" w:cs="georgia" w:ascii="georgia" w:hAnsi="georgia"/>
          <w:b/>
          <w:color w:val="000000"/>
          <w:sz w:val="24"/>
        </w:rPr>
        <w:t xml:space="preserve">Product overview</w:t>
      </w:r>
      <w:bookmarkEnd w:id="1"/>
    </w:p>
    <w:p>
      <w:pPr>
        <w:spacing w:line="360" w:after="210" w:lineRule="auto"/>
      </w:pPr>
      <w:r>
        <w:rPr>
          <w:rFonts w:eastAsia="georgia" w:cs="georgia" w:ascii="georgia" w:hAnsi="georgia"/>
          <w:color w:val="000000"/>
        </w:rPr>
        <w:t xml:space="preserve">Tesamorelin is a synthetic 44–amino acid peptide that closely mirrors native human growth hormone–releasing hormone (GHRH) and includes a protective trans‑3‑hexenoic acid group at the N‑terminus to improve stability in circulation.[conversation_history:1] In research models, it is widely used to stimulate the pituitary gland to release endogenous growth hormone, allowing investigators to explore growth hormone/IGF‑1 axis biology, visceral fat regulation, and broader metabolic pathways.[conversation_history:1]</w:t>
      </w:r>
    </w:p>
    <w:p>
      <w:pPr>
        <w:spacing w:line="360" w:after="210" w:lineRule="auto"/>
      </w:pPr>
      <w:r>
        <w:rPr>
          <w:rFonts w:eastAsia="georgia" w:cs="georgia" w:ascii="georgia" w:hAnsi="georgia"/>
          <w:color w:val="000000"/>
        </w:rPr>
        <w:t xml:space="preserve">This description is written specifically for a research‑focused e‑commerce site. It is intended to help laboratories understand how tesamorelin fits into experimental designs, not to guide medical use or any non‑research application.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quick_product_snapshot"/>
      <w:r>
        <w:rPr>
          <w:rFonts w:eastAsia="georgia" w:cs="georgia" w:ascii="georgia" w:hAnsi="georgia"/>
          <w:b/>
          <w:color w:val="000000"/>
          <w:sz w:val="24"/>
        </w:rPr>
        <w:t xml:space="preserve">Quick product snapshot</w:t>
      </w:r>
      <w:bookmarkEnd w:id="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Field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Detail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Product name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Tesamorelin (10 mg)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Peptide type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Synthetic GHRH analog (44–amino acid, N‑acylated)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Content per vial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10 mg lyophilized peptide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Purity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98% by RP‑HPLC (research‑grade)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Appearance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White to off‑white lyophilized powder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Storage (dry)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−20 °C to −80 °C, protected from light and moisture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Solubility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Water, bacteriostatic water, phosphate‑buffered saline (PBS)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CAS number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901758‑09‑6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PubChem CID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44147413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Intended use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In‑vitro and preclinical research only</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identity_and_peptide_specifications"/>
      <w:r>
        <w:rPr>
          <w:rFonts w:eastAsia="georgia" w:cs="georgia" w:ascii="georgia" w:hAnsi="georgia"/>
          <w:b/>
          <w:color w:val="000000"/>
          <w:sz w:val="24"/>
        </w:rPr>
        <w:t xml:space="preserve">Identity and peptide specifications</w:t>
      </w:r>
      <w:bookmarkEnd w:id="3"/>
    </w:p>
    <w:p>
      <w:pPr>
        <w:spacing w:line="360" w:after="210" w:lineRule="auto"/>
      </w:pPr>
      <w:r>
        <w:rPr>
          <w:rFonts w:eastAsia="georgia" w:cs="georgia" w:ascii="georgia" w:hAnsi="georgia"/>
          <w:color w:val="000000"/>
        </w:rPr>
        <w:t xml:space="preserve">Tesamorelin is based on the complete 44–amino acid human GHRH(1‑44) sequence and adds a trans‑3‑hexenoic acid group to the N‑terminal tyrosine residue to protect against rapid enzymatic breakdown, especially by dipeptidyl peptidase‑IV (DPP‑IV).[conversation_history:1]</w:t>
      </w:r>
    </w:p>
    <w:p>
      <w:pPr>
        <w:spacing w:line="360" w:after="210" w:lineRule="auto"/>
      </w:pPr>
      <w:r>
        <w:rPr>
          <w:rFonts w:eastAsia="georgia" w:cs="georgia" w:ascii="georgia" w:hAnsi="georgia"/>
          <w:b/>
          <w:color w:val="000000"/>
        </w:rPr>
        <w:t xml:space="preserve">Core specifications</w:t>
      </w:r>
    </w:p>
    <w:p>
      <w:pPr>
        <w:numPr>
          <w:ilvl w:val="0"/>
          <w:numId w:val="1"/>
        </w:numPr>
        <w:spacing w:line="360" w:before="105" w:after="105" w:lineRule="auto"/>
      </w:pPr>
      <w:r>
        <w:rPr>
          <w:rFonts w:eastAsia="georgia" w:cs="georgia" w:ascii="georgia" w:hAnsi="georgia"/>
          <w:color w:val="000000"/>
          <w:sz w:val="21"/>
        </w:rPr>
        <w:t xml:space="preserve">Peptide name: Tesamorelin (GHRH analog)</w:t>
      </w:r>
    </w:p>
    <w:p>
      <w:pPr>
        <w:numPr>
          <w:ilvl w:val="0"/>
          <w:numId w:val="1"/>
        </w:numPr>
        <w:spacing w:line="360" w:before="105" w:after="105" w:lineRule="auto"/>
      </w:pPr>
      <w:r>
        <w:rPr>
          <w:rFonts w:eastAsia="georgia" w:cs="georgia" w:ascii="georgia" w:hAnsi="georgia"/>
          <w:color w:val="000000"/>
          <w:sz w:val="21"/>
        </w:rPr>
        <w:t xml:space="preserve">Peptide classification: Synthetic GHRH analog with N‑terminal acylation</w:t>
      </w:r>
    </w:p>
    <w:p>
      <w:pPr>
        <w:numPr>
          <w:ilvl w:val="0"/>
          <w:numId w:val="1"/>
        </w:numPr>
        <w:spacing w:line="360" w:before="105" w:after="105" w:lineRule="auto"/>
      </w:pPr>
      <w:r>
        <w:rPr>
          <w:rFonts w:eastAsia="georgia" w:cs="georgia" w:ascii="georgia" w:hAnsi="georgia"/>
          <w:color w:val="000000"/>
          <w:sz w:val="21"/>
        </w:rPr>
        <w:t xml:space="preserve">Sequence length: 44 amino acids</w:t>
      </w:r>
    </w:p>
    <w:p>
      <w:pPr>
        <w:numPr>
          <w:ilvl w:val="0"/>
          <w:numId w:val="1"/>
        </w:numPr>
        <w:spacing w:line="360" w:before="105" w:after="105" w:lineRule="auto"/>
      </w:pPr>
      <w:r>
        <w:rPr>
          <w:rFonts w:eastAsia="georgia" w:cs="georgia" w:ascii="georgia" w:hAnsi="georgia"/>
          <w:color w:val="000000"/>
          <w:sz w:val="21"/>
        </w:rPr>
        <w:t xml:space="preserve">Sequence (three‑letter):</w:t>
      </w:r>
      <w:r>
        <w:rPr>
          <w:rFonts w:eastAsia="georgia" w:cs="georgia" w:ascii="georgia" w:hAnsi="georgia"/>
          <w:color w:val="000000"/>
          <w:sz w:val="21"/>
        </w:rPr>
        <w:br w:type="textWrapping"/>
      </w:r>
      <w:r>
        <w:rPr>
          <w:rFonts w:eastAsia="georgia" w:cs="georgia" w:ascii="georgia" w:hAnsi="georgia"/>
          <w:color w:val="000000"/>
          <w:sz w:val="21"/>
        </w:rPr>
        <w:t xml:space="preserve">Tyr‑Ala‑Asp‑Ala‑Ile‑Phe‑Thr‑Asn‑Ser‑Tyr‑Arg‑Lys‑Val‑Leu‑Gly‑Gln‑Leu‑Ser‑Ala‑Arg‑Kys‑Leu‑Leu‑Gln‑Asp‑Ile‑Met‑Ser‑Arg‑Gln‑Gln‑Gly‑Glu‑Ser‑Asn‑Gln‑Glu‑Arg‑Gly‑Ala‑Arg‑Ala‑Arg‑Leu[conversation_history:1]</w:t>
      </w:r>
    </w:p>
    <w:p>
      <w:pPr>
        <w:numPr>
          <w:ilvl w:val="0"/>
          <w:numId w:val="1"/>
        </w:numPr>
        <w:spacing w:line="360" w:before="105" w:after="105" w:lineRule="auto"/>
      </w:pPr>
      <w:r>
        <w:rPr>
          <w:rFonts w:eastAsia="georgia" w:cs="georgia" w:ascii="georgia" w:hAnsi="georgia"/>
          <w:color w:val="000000"/>
          <w:sz w:val="21"/>
        </w:rPr>
        <w:t xml:space="preserve">Molecular formula (commonly cited): C₂₂₃H₃₇₀N₇₂O₆₉S[conversation_history:1]</w:t>
      </w:r>
    </w:p>
    <w:p>
      <w:pPr>
        <w:numPr>
          <w:ilvl w:val="0"/>
          <w:numId w:val="1"/>
        </w:numPr>
        <w:spacing w:line="360" w:before="105" w:after="105" w:lineRule="auto"/>
      </w:pPr>
      <w:r>
        <w:rPr>
          <w:rFonts w:eastAsia="georgia" w:cs="georgia" w:ascii="georgia" w:hAnsi="georgia"/>
          <w:color w:val="000000"/>
          <w:sz w:val="21"/>
        </w:rPr>
        <w:t xml:space="preserve">Approximate molecular weight: ~5,196 g/mol[conversation_history:1]</w:t>
      </w:r>
    </w:p>
    <w:p>
      <w:pPr>
        <w:numPr>
          <w:ilvl w:val="0"/>
          <w:numId w:val="1"/>
        </w:numPr>
        <w:spacing w:line="360" w:before="105" w:after="105" w:lineRule="auto"/>
      </w:pPr>
      <w:r>
        <w:rPr>
          <w:rFonts w:eastAsia="georgia" w:cs="georgia" w:ascii="georgia" w:hAnsi="georgia"/>
          <w:color w:val="000000"/>
          <w:sz w:val="21"/>
        </w:rPr>
        <w:t xml:space="preserve">CAS Registry Number: 901758‑09‑6[conversation_history:1]</w:t>
      </w:r>
    </w:p>
    <w:p>
      <w:pPr>
        <w:numPr>
          <w:ilvl w:val="0"/>
          <w:numId w:val="1"/>
        </w:numPr>
        <w:spacing w:line="360" w:before="105" w:after="105" w:lineRule="auto"/>
      </w:pPr>
      <w:r>
        <w:rPr>
          <w:rFonts w:eastAsia="georgia" w:cs="georgia" w:ascii="georgia" w:hAnsi="georgia"/>
          <w:color w:val="000000"/>
          <w:sz w:val="21"/>
        </w:rPr>
        <w:t xml:space="preserve">PubChem CID: 44147413[conversation_history:1]</w:t>
      </w:r>
    </w:p>
    <w:p>
      <w:pPr>
        <w:numPr>
          <w:ilvl w:val="0"/>
          <w:numId w:val="1"/>
        </w:numPr>
        <w:spacing w:line="360" w:before="105" w:after="105" w:lineRule="auto"/>
      </w:pPr>
      <w:r>
        <w:rPr>
          <w:rFonts w:eastAsia="georgia" w:cs="georgia" w:ascii="georgia" w:hAnsi="georgia"/>
          <w:color w:val="000000"/>
          <w:sz w:val="21"/>
        </w:rPr>
        <w:t xml:space="preserve">Synonyms in research and regulatory literature: tesamorelin acetate, TH9507, UNII‑LGW5H38VE3[conversation_history:1]</w:t>
      </w:r>
    </w:p>
    <w:p>
      <w:pPr>
        <w:spacing w:line="360" w:after="210" w:lineRule="auto"/>
      </w:pPr>
      <w:r>
        <w:rPr>
          <w:rFonts w:eastAsia="georgia" w:cs="georgia" w:ascii="georgia" w:hAnsi="georgia"/>
          <w:color w:val="000000"/>
        </w:rPr>
        <w:t xml:space="preserve">By protecting the N‑terminus, the design retains GHRH receptor binding while significantly extending the time the peptide remains active in plasma compared with native GHRH.[conversation_history:1]</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relationship_to_native_ghrh_and_o_1dc629"/>
      <w:r>
        <w:rPr>
          <w:rFonts w:eastAsia="georgia" w:cs="georgia" w:ascii="georgia" w:hAnsi="georgia"/>
          <w:b/>
          <w:color w:val="000000"/>
          <w:sz w:val="24"/>
        </w:rPr>
        <w:t xml:space="preserve">Relationship to native GHRH and other GH‑axis tools</w:t>
      </w:r>
      <w:bookmarkEnd w:id="4"/>
    </w:p>
    <w:p>
      <w:pPr>
        <w:spacing w:line="360" w:before="315" w:after="105" w:lineRule="auto"/>
        <w:ind w:left="-30"/>
        <w:jc w:val="left"/>
      </w:pPr>
      <w:bookmarkStart w:id="5" w:name="comparison_with_endogenous_ghrh"/>
      <w:r>
        <w:rPr>
          <w:rFonts w:eastAsia="georgia" w:cs="georgia" w:ascii="georgia" w:hAnsi="georgia"/>
          <w:b/>
          <w:color w:val="000000"/>
          <w:sz w:val="24"/>
        </w:rPr>
        <w:t xml:space="preserve">Comparison with endogenous GHRH</w:t>
      </w:r>
      <w:bookmarkEnd w:id="5"/>
    </w:p>
    <w:p>
      <w:pPr>
        <w:spacing w:line="360" w:after="210" w:lineRule="auto"/>
      </w:pPr>
      <w:r>
        <w:rPr>
          <w:rFonts w:eastAsia="georgia" w:cs="georgia" w:ascii="georgia" w:hAnsi="georgia"/>
          <w:color w:val="000000"/>
        </w:rPr>
        <w:t xml:space="preserve">Endogenous GHRH is secreted by the hypothalamus and acts on the anterior pituitary to drive pulsatile growth hormone release but is rapidly degraded, with a short plasma half‑life of roughly 7–10 minutes in humans.[conversation_history:1] Tesamorelin preserves the same receptor‑binding portion of the peptide but resists DPP‑IV cleavage, allowing for a longer functional half‑life while maintaining a pulsatile growth hormone secretion profile rather than a flat, constant elevation.[conversation_history:1]</w:t>
      </w:r>
    </w:p>
    <w:p>
      <w:pPr>
        <w:spacing w:line="360" w:before="315" w:after="105" w:lineRule="auto"/>
        <w:ind w:left="-30"/>
        <w:jc w:val="left"/>
      </w:pPr>
      <w:bookmarkStart w:id="6" w:name="position_among_other_gh_axis_rese_5041fe"/>
      <w:r>
        <w:rPr>
          <w:rFonts w:eastAsia="georgia" w:cs="georgia" w:ascii="georgia" w:hAnsi="georgia"/>
          <w:b/>
          <w:color w:val="000000"/>
          <w:sz w:val="24"/>
        </w:rPr>
        <w:t xml:space="preserve">Position among other GH‑axis research peptides</w:t>
      </w:r>
      <w:bookmarkEnd w:id="6"/>
    </w:p>
    <w:p>
      <w:pPr>
        <w:spacing w:line="360" w:after="210" w:lineRule="auto"/>
      </w:pPr>
      <w:r>
        <w:rPr>
          <w:rFonts w:eastAsia="georgia" w:cs="georgia" w:ascii="georgia" w:hAnsi="georgia"/>
          <w:color w:val="000000"/>
        </w:rPr>
        <w:t xml:space="preserve">Tesamorelin is one of several tools used to probe the growth hormone/IGF‑1 axis:[conversation_history:1]</w:t>
      </w:r>
    </w:p>
    <w:p>
      <w:pPr>
        <w:numPr>
          <w:ilvl w:val="0"/>
          <w:numId w:val="2"/>
        </w:numPr>
        <w:spacing w:line="360" w:before="105" w:after="105" w:lineRule="auto"/>
      </w:pPr>
      <w:r>
        <w:rPr>
          <w:rFonts w:eastAsia="georgia" w:cs="georgia" w:ascii="georgia" w:hAnsi="georgia"/>
          <w:b/>
          <w:color w:val="000000"/>
          <w:sz w:val="21"/>
        </w:rPr>
        <w:t xml:space="preserve">Shorter GHRH analogs</w:t>
      </w:r>
      <w:r>
        <w:rPr>
          <w:rFonts w:eastAsia="georgia" w:cs="georgia" w:ascii="georgia" w:hAnsi="georgia"/>
          <w:color w:val="000000"/>
          <w:sz w:val="21"/>
        </w:rPr>
        <w:t xml:space="preserve"> such as modified GRF (1‑29) and CJC‑1295 alter or truncate the native sequence to change pharmacokinetics and receptor interactions.</w:t>
      </w:r>
    </w:p>
    <w:p>
      <w:pPr>
        <w:numPr>
          <w:ilvl w:val="0"/>
          <w:numId w:val="2"/>
        </w:numPr>
        <w:spacing w:line="360" w:before="105" w:after="105" w:lineRule="auto"/>
      </w:pPr>
      <w:r>
        <w:rPr>
          <w:rFonts w:eastAsia="georgia" w:cs="georgia" w:ascii="georgia" w:hAnsi="georgia"/>
          <w:b/>
          <w:color w:val="000000"/>
          <w:sz w:val="21"/>
        </w:rPr>
        <w:t xml:space="preserve">Growth hormone secretagogue receptor (GHSR) agonists</w:t>
      </w:r>
      <w:r>
        <w:rPr>
          <w:rFonts w:eastAsia="georgia" w:cs="georgia" w:ascii="georgia" w:hAnsi="georgia"/>
          <w:color w:val="000000"/>
          <w:sz w:val="21"/>
        </w:rPr>
        <w:t xml:space="preserve">, including peptides like ipamorelin, act through a different receptor system (ghrelin/secretagogue pathway) to stimulate growth hormone release.[conversation_history:1]</w:t>
      </w:r>
    </w:p>
    <w:p>
      <w:pPr>
        <w:numPr>
          <w:ilvl w:val="0"/>
          <w:numId w:val="2"/>
        </w:numPr>
        <w:spacing w:line="360" w:before="105" w:after="105" w:lineRule="auto"/>
      </w:pPr>
      <w:r>
        <w:rPr>
          <w:rFonts w:eastAsia="georgia" w:cs="georgia" w:ascii="georgia" w:hAnsi="georgia"/>
          <w:b/>
          <w:color w:val="000000"/>
          <w:sz w:val="21"/>
        </w:rPr>
        <w:t xml:space="preserve">Downstream IGF‑1 analogs</w:t>
      </w:r>
      <w:r>
        <w:rPr>
          <w:rFonts w:eastAsia="georgia" w:cs="georgia" w:ascii="georgia" w:hAnsi="georgia"/>
          <w:color w:val="000000"/>
          <w:sz w:val="21"/>
        </w:rPr>
        <w:t xml:space="preserve">, such as IGF‑1 LR3, bypass pituitary stimulation and act directly at IGF‑1 receptors in target tissues.[conversation_history:1]</w:t>
      </w:r>
    </w:p>
    <w:p>
      <w:pPr>
        <w:spacing w:line="360" w:after="210" w:lineRule="auto"/>
      </w:pPr>
      <w:r>
        <w:rPr>
          <w:rFonts w:eastAsia="georgia" w:cs="georgia" w:ascii="georgia" w:hAnsi="georgia"/>
          <w:color w:val="000000"/>
        </w:rPr>
        <w:t xml:space="preserve">Tesamorelin is distinctive in that it keeps the full GHRH(1‑44) sequence and modifies only the N‑terminus, so its receptor pharmacology matches that of native GHRH while its pharmacokinetics are more suitable for extended research protocols.[conversation_history:1]</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 w:name="pharmacokinetic_profile_and_gh_ig_d139c7"/>
      <w:r>
        <w:rPr>
          <w:rFonts w:eastAsia="georgia" w:cs="georgia" w:ascii="georgia" w:hAnsi="georgia"/>
          <w:b/>
          <w:color w:val="000000"/>
          <w:sz w:val="24"/>
        </w:rPr>
        <w:t xml:space="preserve">Pharmacokinetic profile and GH/IGF‑1 dynamics</w:t>
      </w:r>
      <w:bookmarkEnd w:id="7"/>
    </w:p>
    <w:p>
      <w:pPr>
        <w:spacing w:line="360" w:before="315" w:after="105" w:lineRule="auto"/>
        <w:ind w:left="-30"/>
        <w:jc w:val="left"/>
      </w:pPr>
      <w:bookmarkStart w:id="8" w:name="absorption_and_half_life"/>
      <w:r>
        <w:rPr>
          <w:rFonts w:eastAsia="georgia" w:cs="georgia" w:ascii="georgia" w:hAnsi="georgia"/>
          <w:b/>
          <w:color w:val="000000"/>
          <w:sz w:val="24"/>
        </w:rPr>
        <w:t xml:space="preserve">Absorption and half‑life</w:t>
      </w:r>
      <w:bookmarkEnd w:id="8"/>
    </w:p>
    <w:p>
      <w:pPr>
        <w:spacing w:line="360" w:after="210" w:lineRule="auto"/>
      </w:pPr>
      <w:r>
        <w:rPr>
          <w:rFonts w:eastAsia="georgia" w:cs="georgia" w:ascii="georgia" w:hAnsi="georgia"/>
          <w:color w:val="000000"/>
        </w:rPr>
        <w:t xml:space="preserve">Preclinical and clinical research has described key pharmacokinetic features:[conversation_history:1]</w:t>
      </w:r>
    </w:p>
    <w:p>
      <w:pPr>
        <w:numPr>
          <w:ilvl w:val="0"/>
          <w:numId w:val="3"/>
        </w:numPr>
        <w:spacing w:line="360" w:before="105" w:after="105" w:lineRule="auto"/>
      </w:pPr>
      <w:r>
        <w:rPr>
          <w:rFonts w:eastAsia="georgia" w:cs="georgia" w:ascii="georgia" w:hAnsi="georgia"/>
          <w:color w:val="000000"/>
          <w:sz w:val="21"/>
        </w:rPr>
        <w:t xml:space="preserve">Subcutaneous administration leads to reliable systemic exposure and is commonly used in repeated‑dose studies.</w:t>
      </w:r>
    </w:p>
    <w:p>
      <w:pPr>
        <w:numPr>
          <w:ilvl w:val="0"/>
          <w:numId w:val="3"/>
        </w:numPr>
        <w:spacing w:line="360" w:before="105" w:after="105" w:lineRule="auto"/>
      </w:pPr>
      <w:r>
        <w:rPr>
          <w:rFonts w:eastAsia="georgia" w:cs="georgia" w:ascii="georgia" w:hAnsi="georgia"/>
          <w:color w:val="000000"/>
          <w:sz w:val="21"/>
        </w:rPr>
        <w:t xml:space="preserve">Reported plasma half‑life in humans is typically around 25–40 minutes, significantly longer than native GHRH yet still compatible with physiological‑like GH pulsatility.[conversation_history:1]</w:t>
      </w:r>
    </w:p>
    <w:p>
      <w:pPr>
        <w:numPr>
          <w:ilvl w:val="0"/>
          <w:numId w:val="3"/>
        </w:numPr>
        <w:spacing w:line="360" w:before="105" w:after="105" w:lineRule="auto"/>
      </w:pPr>
      <w:r>
        <w:rPr>
          <w:rFonts w:eastAsia="georgia" w:cs="georgia" w:ascii="georgia" w:hAnsi="georgia"/>
          <w:color w:val="000000"/>
          <w:sz w:val="21"/>
        </w:rPr>
        <w:t xml:space="preserve">Peak growth hormone levels generally appear within 1–2 hours of dosing, with elevated IGF‑1 levels building gradually over days to weeks as the axis is stimulated.[conversation_history:1]</w:t>
      </w:r>
    </w:p>
    <w:p>
      <w:pPr>
        <w:spacing w:line="360" w:before="315" w:after="105" w:lineRule="auto"/>
        <w:ind w:left="-30"/>
        <w:jc w:val="left"/>
      </w:pPr>
      <w:bookmarkStart w:id="9" w:name="growth_hormone_pulsatility_and_re_a2914b"/>
      <w:r>
        <w:rPr>
          <w:rFonts w:eastAsia="georgia" w:cs="georgia" w:ascii="georgia" w:hAnsi="georgia"/>
          <w:b/>
          <w:color w:val="000000"/>
          <w:sz w:val="24"/>
        </w:rPr>
        <w:t xml:space="preserve">Growth hormone pulsatility and receptor responsiveness</w:t>
      </w:r>
      <w:bookmarkEnd w:id="9"/>
    </w:p>
    <w:p>
      <w:pPr>
        <w:spacing w:line="360" w:after="210" w:lineRule="auto"/>
      </w:pPr>
      <w:r>
        <w:rPr>
          <w:rFonts w:eastAsia="georgia" w:cs="georgia" w:ascii="georgia" w:hAnsi="georgia"/>
          <w:color w:val="000000"/>
        </w:rPr>
        <w:t xml:space="preserve">One of tesamorelin’s design goals is to enhance endogenous growth hormone pulses rather than override them:[conversation_history:1]</w:t>
      </w:r>
    </w:p>
    <w:p>
      <w:pPr>
        <w:numPr>
          <w:ilvl w:val="0"/>
          <w:numId w:val="4"/>
        </w:numPr>
        <w:spacing w:line="360" w:before="105" w:after="105" w:lineRule="auto"/>
      </w:pPr>
      <w:r>
        <w:rPr>
          <w:rFonts w:eastAsia="georgia" w:cs="georgia" w:ascii="georgia" w:hAnsi="georgia"/>
          <w:color w:val="000000"/>
          <w:sz w:val="21"/>
        </w:rPr>
        <w:t xml:space="preserve">GH secretion remains pulsatile, with increased amplitude and frequency rather than a sustained plateau in many models.</w:t>
      </w:r>
    </w:p>
    <w:p>
      <w:pPr>
        <w:numPr>
          <w:ilvl w:val="0"/>
          <w:numId w:val="4"/>
        </w:numPr>
        <w:spacing w:line="360" w:before="105" w:after="105" w:lineRule="auto"/>
      </w:pPr>
      <w:r>
        <w:rPr>
          <w:rFonts w:eastAsia="georgia" w:cs="georgia" w:ascii="georgia" w:hAnsi="georgia"/>
          <w:color w:val="000000"/>
          <w:sz w:val="21"/>
        </w:rPr>
        <w:t xml:space="preserve">Repeated daily dosing in studied regimens has shown limited evidence of pituitary desensitization when used at commonly evaluated doses.[conversation_history:1]</w:t>
      </w:r>
    </w:p>
    <w:p>
      <w:pPr>
        <w:numPr>
          <w:ilvl w:val="0"/>
          <w:numId w:val="4"/>
        </w:numPr>
        <w:spacing w:line="360" w:before="105" w:after="105" w:lineRule="auto"/>
      </w:pPr>
      <w:r>
        <w:rPr>
          <w:rFonts w:eastAsia="georgia" w:cs="georgia" w:ascii="georgia" w:hAnsi="georgia"/>
          <w:color w:val="000000"/>
          <w:sz w:val="21"/>
        </w:rPr>
        <w:t xml:space="preserve">IGF‑1 and IGFBP‑3 levels rise into a higher but still regulated range, reflecting increased GH exposure rather than direct IGF‑1 administration.[conversation_history:1]</w:t>
      </w:r>
    </w:p>
    <w:p>
      <w:pPr>
        <w:spacing w:line="360" w:after="210" w:lineRule="auto"/>
      </w:pPr>
      <w:r>
        <w:rPr>
          <w:rFonts w:eastAsia="georgia" w:cs="georgia" w:ascii="georgia" w:hAnsi="georgia"/>
          <w:color w:val="000000"/>
        </w:rPr>
        <w:t xml:space="preserve">These features allow tesamorelin to be used for long‑term GH‑axis research, including body‑composition and metabolic‑syndrome studies that require weeks or months of observation.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 w:name="extended_research_themes_preclini_93e7e6"/>
      <w:r>
        <w:rPr>
          <w:rFonts w:eastAsia="georgia" w:cs="georgia" w:ascii="georgia" w:hAnsi="georgia"/>
          <w:b/>
          <w:color w:val="000000"/>
          <w:sz w:val="24"/>
        </w:rPr>
        <w:t xml:space="preserve">Extended research themes (preclinical and translational)</w:t>
      </w:r>
      <w:bookmarkEnd w:id="10"/>
    </w:p>
    <w:p>
      <w:pPr>
        <w:spacing w:line="360" w:before="315" w:after="105" w:lineRule="auto"/>
        <w:ind w:left="-30"/>
        <w:jc w:val="left"/>
      </w:pPr>
      <w:bookmarkStart w:id="11" w:name="bm_1_visceral_adipose_tissue_and_a983d8"/>
      <w:r>
        <w:rPr>
          <w:rFonts w:eastAsia="georgia" w:cs="georgia" w:ascii="georgia" w:hAnsi="georgia"/>
          <w:b/>
          <w:color w:val="000000"/>
          <w:sz w:val="24"/>
        </w:rPr>
        <w:t xml:space="preserve">1. Visceral adipose tissue and lipodystrophy models</w:t>
      </w:r>
      <w:bookmarkEnd w:id="11"/>
    </w:p>
    <w:p>
      <w:pPr>
        <w:spacing w:line="360" w:after="210" w:lineRule="auto"/>
      </w:pPr>
      <w:r>
        <w:rPr>
          <w:rFonts w:eastAsia="georgia" w:cs="georgia" w:ascii="georgia" w:hAnsi="georgia"/>
          <w:color w:val="000000"/>
        </w:rPr>
        <w:t xml:space="preserve">Tesamorelin is widely used in models that investigate central fat accumulation and lipodystrophy, especially in the context of antiretroviral‑associated metabolic changes.[conversation_history:1]</w:t>
      </w:r>
    </w:p>
    <w:p>
      <w:pPr>
        <w:spacing w:line="360" w:after="210" w:lineRule="auto"/>
      </w:pPr>
      <w:r>
        <w:rPr>
          <w:rFonts w:eastAsia="georgia" w:cs="georgia" w:ascii="georgia" w:hAnsi="georgia"/>
          <w:color w:val="000000"/>
        </w:rPr>
        <w:t xml:space="preserve">Research questions include:</w:t>
      </w:r>
    </w:p>
    <w:p>
      <w:pPr>
        <w:numPr>
          <w:ilvl w:val="0"/>
          <w:numId w:val="5"/>
        </w:numPr>
        <w:spacing w:line="360" w:before="105" w:after="105" w:lineRule="auto"/>
      </w:pPr>
      <w:r>
        <w:rPr>
          <w:rFonts w:eastAsia="georgia" w:cs="georgia" w:ascii="georgia" w:hAnsi="georgia"/>
          <w:color w:val="000000"/>
          <w:sz w:val="21"/>
        </w:rPr>
        <w:t xml:space="preserve">How GH‑axis stimulation changes visceral adipose tissue (VAT) volume measured by CT or MRI, compared with more superficial subcutaneous fat depots.[conversation_history:1]</w:t>
      </w:r>
    </w:p>
    <w:p>
      <w:pPr>
        <w:numPr>
          <w:ilvl w:val="0"/>
          <w:numId w:val="5"/>
        </w:numPr>
        <w:spacing w:line="360" w:before="105" w:after="105" w:lineRule="auto"/>
      </w:pPr>
      <w:r>
        <w:rPr>
          <w:rFonts w:eastAsia="georgia" w:cs="georgia" w:ascii="georgia" w:hAnsi="georgia"/>
          <w:color w:val="000000"/>
          <w:sz w:val="21"/>
        </w:rPr>
        <w:t xml:space="preserve">Whether reductions in VAT translate into changes in waist circumference, trunk fat mass, or other anthropometric markers.</w:t>
      </w:r>
    </w:p>
    <w:p>
      <w:pPr>
        <w:numPr>
          <w:ilvl w:val="0"/>
          <w:numId w:val="5"/>
        </w:numPr>
        <w:spacing w:line="360" w:before="105" w:after="105" w:lineRule="auto"/>
      </w:pPr>
      <w:r>
        <w:rPr>
          <w:rFonts w:eastAsia="georgia" w:cs="georgia" w:ascii="georgia" w:hAnsi="georgia"/>
          <w:color w:val="000000"/>
          <w:sz w:val="21"/>
        </w:rPr>
        <w:t xml:space="preserve">How quickly VAT returns toward baseline when tesamorelin exposure stops, compared with ongoing stimulation.</w:t>
      </w:r>
    </w:p>
    <w:p>
      <w:pPr>
        <w:spacing w:line="360" w:after="210" w:lineRule="auto"/>
      </w:pPr>
      <w:r>
        <w:rPr>
          <w:rFonts w:eastAsia="georgia" w:cs="georgia" w:ascii="georgia" w:hAnsi="georgia"/>
          <w:color w:val="000000"/>
        </w:rPr>
        <w:t xml:space="preserve">These experiments often combine imaging, anthropometry, and serum markers (such as triglycerides and lipoproteins) to build a detailed metabolic picture.[conversation_history:1]</w:t>
      </w:r>
    </w:p>
    <w:p>
      <w:pPr>
        <w:spacing w:line="360" w:before="315" w:after="105" w:lineRule="auto"/>
        <w:ind w:left="-30"/>
        <w:jc w:val="left"/>
      </w:pPr>
      <w:bookmarkStart w:id="12" w:name="bm_2_hepatic_fat_nafld_biology_an_bb4250"/>
      <w:r>
        <w:rPr>
          <w:rFonts w:eastAsia="georgia" w:cs="georgia" w:ascii="georgia" w:hAnsi="georgia"/>
          <w:b/>
          <w:color w:val="000000"/>
          <w:sz w:val="24"/>
        </w:rPr>
        <w:t xml:space="preserve">2. Hepatic fat, NAFLD biology, and fibrosis signatures</w:t>
      </w:r>
      <w:bookmarkEnd w:id="12"/>
    </w:p>
    <w:p>
      <w:pPr>
        <w:spacing w:line="360" w:after="210" w:lineRule="auto"/>
      </w:pPr>
      <w:r>
        <w:rPr>
          <w:rFonts w:eastAsia="georgia" w:cs="georgia" w:ascii="georgia" w:hAnsi="georgia"/>
          <w:color w:val="000000"/>
        </w:rPr>
        <w:t xml:space="preserve">In specialized cohorts such as individuals with HIV‑associated NAFLD, tesamorelin has been studied as a tool to examine relationships between GH/IGF‑1 axis activation, liver fat, and molecular markers of fibrosis.[conversation_history:1]</w:t>
      </w:r>
    </w:p>
    <w:p>
      <w:pPr>
        <w:spacing w:line="360" w:after="210" w:lineRule="auto"/>
      </w:pPr>
      <w:r>
        <w:rPr>
          <w:rFonts w:eastAsia="georgia" w:cs="georgia" w:ascii="georgia" w:hAnsi="georgia"/>
          <w:color w:val="000000"/>
        </w:rPr>
        <w:t xml:space="preserve">Reported research themes include:</w:t>
      </w:r>
    </w:p>
    <w:p>
      <w:pPr>
        <w:numPr>
          <w:ilvl w:val="0"/>
          <w:numId w:val="6"/>
        </w:numPr>
        <w:spacing w:line="360" w:before="105" w:after="105" w:lineRule="auto"/>
      </w:pPr>
      <w:r>
        <w:rPr>
          <w:rFonts w:eastAsia="georgia" w:cs="georgia" w:ascii="georgia" w:hAnsi="georgia"/>
          <w:color w:val="000000"/>
          <w:sz w:val="21"/>
        </w:rPr>
        <w:t xml:space="preserve">Changes in hepatic fat fraction measured by imaging‑based methods after defined tesamorelin exposure intervals.[conversation_history:1]</w:t>
      </w:r>
    </w:p>
    <w:p>
      <w:pPr>
        <w:numPr>
          <w:ilvl w:val="0"/>
          <w:numId w:val="6"/>
        </w:numPr>
        <w:spacing w:line="360" w:before="105" w:after="105" w:lineRule="auto"/>
      </w:pPr>
      <w:r>
        <w:rPr>
          <w:rFonts w:eastAsia="georgia" w:cs="georgia" w:ascii="georgia" w:hAnsi="georgia"/>
          <w:color w:val="000000"/>
          <w:sz w:val="21"/>
        </w:rPr>
        <w:t xml:space="preserve">Shifts in liver transcriptomic signatures related to oxidative phosphorylation, inflammatory pathways, and fibrosis‑associated gene sets.[conversation_history:1]</w:t>
      </w:r>
    </w:p>
    <w:p>
      <w:pPr>
        <w:numPr>
          <w:ilvl w:val="0"/>
          <w:numId w:val="6"/>
        </w:numPr>
        <w:spacing w:line="360" w:before="105" w:after="105" w:lineRule="auto"/>
      </w:pPr>
      <w:r>
        <w:rPr>
          <w:rFonts w:eastAsia="georgia" w:cs="georgia" w:ascii="georgia" w:hAnsi="georgia"/>
          <w:color w:val="000000"/>
          <w:sz w:val="21"/>
        </w:rPr>
        <w:t xml:space="preserve">The extent to which GH‑axis modulation may influence markers of fibrosis progression in specific clinical research populations.</w:t>
      </w:r>
    </w:p>
    <w:p>
      <w:pPr>
        <w:spacing w:line="360" w:after="210" w:lineRule="auto"/>
      </w:pPr>
      <w:r>
        <w:rPr>
          <w:rFonts w:eastAsia="georgia" w:cs="georgia" w:ascii="georgia" w:hAnsi="georgia"/>
          <w:color w:val="000000"/>
        </w:rPr>
        <w:t xml:space="preserve">These findings are exploratory and are used to inform future mechanistic studies rather than to prescribe treatment.</w:t>
      </w:r>
    </w:p>
    <w:p>
      <w:pPr>
        <w:spacing w:line="360" w:before="315" w:after="105" w:lineRule="auto"/>
        <w:ind w:left="-30"/>
        <w:jc w:val="left"/>
      </w:pPr>
      <w:bookmarkStart w:id="13" w:name="bm_3_fat_quality_lipid_profiles_a_f30c79"/>
      <w:r>
        <w:rPr>
          <w:rFonts w:eastAsia="georgia" w:cs="georgia" w:ascii="georgia" w:hAnsi="georgia"/>
          <w:b/>
          <w:color w:val="000000"/>
          <w:sz w:val="24"/>
        </w:rPr>
        <w:t xml:space="preserve">3. Fat quality, lipid profiles, and cardiovascular risk markers</w:t>
      </w:r>
      <w:bookmarkEnd w:id="13"/>
    </w:p>
    <w:p>
      <w:pPr>
        <w:spacing w:line="360" w:after="210" w:lineRule="auto"/>
      </w:pPr>
      <w:r>
        <w:rPr>
          <w:rFonts w:eastAsia="georgia" w:cs="georgia" w:ascii="georgia" w:hAnsi="georgia"/>
          <w:color w:val="000000"/>
        </w:rPr>
        <w:t xml:space="preserve">Beyond absolute fat volume, some studies have examined “fat quality” and broader cardiometabolic profiles under tesamorelin exposure.[conversation_history:1]</w:t>
      </w:r>
    </w:p>
    <w:p>
      <w:pPr>
        <w:spacing w:line="360" w:after="210" w:lineRule="auto"/>
      </w:pPr>
      <w:r>
        <w:rPr>
          <w:rFonts w:eastAsia="georgia" w:cs="georgia" w:ascii="georgia" w:hAnsi="georgia"/>
          <w:color w:val="000000"/>
        </w:rPr>
        <w:t xml:space="preserve">Endpoints used include:</w:t>
      </w:r>
    </w:p>
    <w:p>
      <w:pPr>
        <w:numPr>
          <w:ilvl w:val="0"/>
          <w:numId w:val="7"/>
        </w:numPr>
        <w:spacing w:line="360" w:before="105" w:after="105" w:lineRule="auto"/>
      </w:pPr>
      <w:r>
        <w:rPr>
          <w:rFonts w:eastAsia="georgia" w:cs="georgia" w:ascii="georgia" w:hAnsi="georgia"/>
          <w:color w:val="000000"/>
          <w:sz w:val="21"/>
        </w:rPr>
        <w:t xml:space="preserve">CT‑derived adipose tissue density in visceral and subcutaneous compartments, used as a proxy for fat quality.[conversation_history:1]</w:t>
      </w:r>
    </w:p>
    <w:p>
      <w:pPr>
        <w:numPr>
          <w:ilvl w:val="0"/>
          <w:numId w:val="7"/>
        </w:numPr>
        <w:spacing w:line="360" w:before="105" w:after="105" w:lineRule="auto"/>
      </w:pPr>
      <w:r>
        <w:rPr>
          <w:rFonts w:eastAsia="georgia" w:cs="georgia" w:ascii="georgia" w:hAnsi="georgia"/>
          <w:color w:val="000000"/>
          <w:sz w:val="21"/>
        </w:rPr>
        <w:t xml:space="preserve">Serum triglycerides, total and LDL cholesterol, HDL levels, and related lipid markers.</w:t>
      </w:r>
    </w:p>
    <w:p>
      <w:pPr>
        <w:numPr>
          <w:ilvl w:val="0"/>
          <w:numId w:val="7"/>
        </w:numPr>
        <w:spacing w:line="360" w:before="105" w:after="105" w:lineRule="auto"/>
      </w:pPr>
      <w:r>
        <w:rPr>
          <w:rFonts w:eastAsia="georgia" w:cs="georgia" w:ascii="georgia" w:hAnsi="georgia"/>
          <w:color w:val="000000"/>
          <w:sz w:val="21"/>
        </w:rPr>
        <w:t xml:space="preserve">Composite 10‑year cardiovascular risk scores and how they change over the course of GH‑axis stimulation.[conversation_history:1]</w:t>
      </w:r>
    </w:p>
    <w:p>
      <w:pPr>
        <w:spacing w:line="360" w:after="210" w:lineRule="auto"/>
      </w:pPr>
      <w:r>
        <w:rPr>
          <w:rFonts w:eastAsia="georgia" w:cs="georgia" w:ascii="georgia" w:hAnsi="georgia"/>
          <w:color w:val="000000"/>
        </w:rPr>
        <w:t xml:space="preserve">These data sets are particularly useful for researchers interested in the intersection between adipose biology, lipid metabolism, and cardiovascular risk modeling.</w:t>
      </w:r>
    </w:p>
    <w:p>
      <w:pPr>
        <w:spacing w:line="360" w:before="315" w:after="105" w:lineRule="auto"/>
        <w:ind w:left="-30"/>
        <w:jc w:val="left"/>
      </w:pPr>
      <w:bookmarkStart w:id="14" w:name="bm_4_neurocognitive_and_central_n_c802e6"/>
      <w:r>
        <w:rPr>
          <w:rFonts w:eastAsia="georgia" w:cs="georgia" w:ascii="georgia" w:hAnsi="georgia"/>
          <w:b/>
          <w:color w:val="000000"/>
          <w:sz w:val="24"/>
        </w:rPr>
        <w:t xml:space="preserve">4. Neurocognitive and central nervous system research</w:t>
      </w:r>
      <w:bookmarkEnd w:id="14"/>
    </w:p>
    <w:p>
      <w:pPr>
        <w:spacing w:line="360" w:after="210" w:lineRule="auto"/>
      </w:pPr>
      <w:r>
        <w:rPr>
          <w:rFonts w:eastAsia="georgia" w:cs="georgia" w:ascii="georgia" w:hAnsi="georgia"/>
          <w:color w:val="000000"/>
        </w:rPr>
        <w:t xml:space="preserve">Because GH and IGF‑1 are implicated in brain structure and function, tesamorelin has also been used in studies that look at the central nervous system.[conversation_history:1]</w:t>
      </w:r>
    </w:p>
    <w:p>
      <w:pPr>
        <w:spacing w:line="360" w:after="210" w:lineRule="auto"/>
      </w:pPr>
      <w:r>
        <w:rPr>
          <w:rFonts w:eastAsia="georgia" w:cs="georgia" w:ascii="georgia" w:hAnsi="georgia"/>
          <w:color w:val="000000"/>
        </w:rPr>
        <w:t xml:space="preserve">Areas of investigation include:</w:t>
      </w:r>
    </w:p>
    <w:p>
      <w:pPr>
        <w:numPr>
          <w:ilvl w:val="0"/>
          <w:numId w:val="8"/>
        </w:numPr>
        <w:spacing w:line="360" w:before="105" w:after="105" w:lineRule="auto"/>
      </w:pPr>
      <w:r>
        <w:rPr>
          <w:rFonts w:eastAsia="georgia" w:cs="georgia" w:ascii="georgia" w:hAnsi="georgia"/>
          <w:color w:val="000000"/>
          <w:sz w:val="21"/>
        </w:rPr>
        <w:t xml:space="preserve">Cognitive assessments in abdominally obese or HIV‑associated cohorts exposed to tesamorelin, compared with standard care.[conversation_history:1]</w:t>
      </w:r>
    </w:p>
    <w:p>
      <w:pPr>
        <w:numPr>
          <w:ilvl w:val="0"/>
          <w:numId w:val="8"/>
        </w:numPr>
        <w:spacing w:line="360" w:before="105" w:after="105" w:lineRule="auto"/>
      </w:pPr>
      <w:r>
        <w:rPr>
          <w:rFonts w:eastAsia="georgia" w:cs="georgia" w:ascii="georgia" w:hAnsi="georgia"/>
          <w:color w:val="000000"/>
          <w:sz w:val="21"/>
        </w:rPr>
        <w:t xml:space="preserve">Neurochemical markers such as GABA and myo‑inositol levels measured by advanced imaging techniques and how they may change with GH/IGF‑1 modulation.[conversation_history:1]</w:t>
      </w:r>
    </w:p>
    <w:p>
      <w:pPr>
        <w:numPr>
          <w:ilvl w:val="0"/>
          <w:numId w:val="8"/>
        </w:numPr>
        <w:spacing w:line="360" w:before="105" w:after="105" w:lineRule="auto"/>
      </w:pPr>
      <w:r>
        <w:rPr>
          <w:rFonts w:eastAsia="georgia" w:cs="georgia" w:ascii="georgia" w:hAnsi="georgia"/>
          <w:color w:val="000000"/>
          <w:sz w:val="21"/>
        </w:rPr>
        <w:t xml:space="preserve">Early‑stage work exploring memory performance and trajectories in aging and mild cognitive impairment.</w:t>
      </w:r>
    </w:p>
    <w:p>
      <w:pPr>
        <w:spacing w:line="360" w:after="210" w:lineRule="auto"/>
      </w:pPr>
      <w:r>
        <w:rPr>
          <w:rFonts w:eastAsia="georgia" w:cs="georgia" w:ascii="georgia" w:hAnsi="georgia"/>
          <w:color w:val="000000"/>
        </w:rPr>
        <w:t xml:space="preserve">The current body of evidence is mixed and mainly hypothesis‑generating, highlighting questions for future research rather than definitive conclusions.</w:t>
      </w:r>
    </w:p>
    <w:p>
      <w:pPr>
        <w:spacing w:line="360" w:before="315" w:after="105" w:lineRule="auto"/>
        <w:ind w:left="-30"/>
        <w:jc w:val="left"/>
      </w:pPr>
      <w:bookmarkStart w:id="15" w:name="bm_5_metabolic_syndrome_aging_and_6bbb63"/>
      <w:r>
        <w:rPr>
          <w:rFonts w:eastAsia="georgia" w:cs="georgia" w:ascii="georgia" w:hAnsi="georgia"/>
          <w:b/>
          <w:color w:val="000000"/>
          <w:sz w:val="24"/>
        </w:rPr>
        <w:t xml:space="preserve">5. Metabolic syndrome, aging, and GH decline</w:t>
      </w:r>
      <w:bookmarkEnd w:id="15"/>
    </w:p>
    <w:p>
      <w:pPr>
        <w:spacing w:line="360" w:after="210" w:lineRule="auto"/>
      </w:pPr>
      <w:r>
        <w:rPr>
          <w:rFonts w:eastAsia="georgia" w:cs="georgia" w:ascii="georgia" w:hAnsi="georgia"/>
          <w:color w:val="000000"/>
        </w:rPr>
        <w:t xml:space="preserve">Tesamorelin’s ability to engage the GH/IGF‑1 axis in a relatively physiological manner has made it a useful tool in models of metabolic syndrome and age‑related GH decline.[conversation_history:1]</w:t>
      </w:r>
    </w:p>
    <w:p>
      <w:pPr>
        <w:spacing w:line="360" w:after="210" w:lineRule="auto"/>
      </w:pPr>
      <w:r>
        <w:rPr>
          <w:rFonts w:eastAsia="georgia" w:cs="georgia" w:ascii="georgia" w:hAnsi="georgia"/>
          <w:color w:val="000000"/>
        </w:rPr>
        <w:t xml:space="preserve">Research themes include:</w:t>
      </w:r>
    </w:p>
    <w:p>
      <w:pPr>
        <w:numPr>
          <w:ilvl w:val="0"/>
          <w:numId w:val="9"/>
        </w:numPr>
        <w:spacing w:line="360" w:before="105" w:after="105" w:lineRule="auto"/>
      </w:pPr>
      <w:r>
        <w:rPr>
          <w:rFonts w:eastAsia="georgia" w:cs="georgia" w:ascii="georgia" w:hAnsi="georgia"/>
          <w:color w:val="000000"/>
          <w:sz w:val="21"/>
        </w:rPr>
        <w:t xml:space="preserve">How GH status relates to visceral fat accumulation, insulin sensitivity, and other metabolic parameters in mid‑life and older individuals.[conversation_history:1]</w:t>
      </w:r>
    </w:p>
    <w:p>
      <w:pPr>
        <w:numPr>
          <w:ilvl w:val="0"/>
          <w:numId w:val="9"/>
        </w:numPr>
        <w:spacing w:line="360" w:before="105" w:after="105" w:lineRule="auto"/>
      </w:pPr>
      <w:r>
        <w:rPr>
          <w:rFonts w:eastAsia="georgia" w:cs="georgia" w:ascii="georgia" w:hAnsi="georgia"/>
          <w:color w:val="000000"/>
          <w:sz w:val="21"/>
        </w:rPr>
        <w:t xml:space="preserve">Whether GH‑axis support through GHRH analogs can influence patterns of sarcopenic obesity, where muscle loss and fat gain occur together.</w:t>
      </w:r>
    </w:p>
    <w:p>
      <w:pPr>
        <w:numPr>
          <w:ilvl w:val="0"/>
          <w:numId w:val="9"/>
        </w:numPr>
        <w:spacing w:line="360" w:before="105" w:after="105" w:lineRule="auto"/>
      </w:pPr>
      <w:r>
        <w:rPr>
          <w:rFonts w:eastAsia="georgia" w:cs="georgia" w:ascii="georgia" w:hAnsi="georgia"/>
          <w:color w:val="000000"/>
          <w:sz w:val="21"/>
        </w:rPr>
        <w:t xml:space="preserve">The balance between improved body composition and potential effects on glucose tolerance and insulin action.</w:t>
      </w:r>
    </w:p>
    <w:p>
      <w:pPr>
        <w:spacing w:line="360" w:after="210" w:lineRule="auto"/>
      </w:pPr>
      <w:r>
        <w:rPr>
          <w:rFonts w:eastAsia="georgia" w:cs="georgia" w:ascii="georgia" w:hAnsi="georgia"/>
          <w:color w:val="000000"/>
        </w:rPr>
        <w:t xml:space="preserve">These questions are approached in controlled trials and animal models, with careful monitoring of metabolic, hormonal, and safety markers.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 w:name="laboratory_handling_reconstitutio_798a56"/>
      <w:r>
        <w:rPr>
          <w:rFonts w:eastAsia="georgia" w:cs="georgia" w:ascii="georgia" w:hAnsi="georgia"/>
          <w:b/>
          <w:color w:val="000000"/>
          <w:sz w:val="24"/>
        </w:rPr>
        <w:t xml:space="preserve">Laboratory handling, reconstitution, and storage</w:t>
      </w:r>
      <w:bookmarkEnd w:id="16"/>
    </w:p>
    <w:p>
      <w:pPr>
        <w:spacing w:line="360" w:before="315" w:after="105" w:lineRule="auto"/>
        <w:ind w:left="-30"/>
        <w:jc w:val="left"/>
      </w:pPr>
      <w:bookmarkStart w:id="17" w:name="lyophilized_peptide_storage"/>
      <w:r>
        <w:rPr>
          <w:rFonts w:eastAsia="georgia" w:cs="georgia" w:ascii="georgia" w:hAnsi="georgia"/>
          <w:b/>
          <w:color w:val="000000"/>
          <w:sz w:val="24"/>
        </w:rPr>
        <w:t xml:space="preserve">Lyophilized peptide storage</w:t>
      </w:r>
      <w:bookmarkEnd w:id="17"/>
    </w:p>
    <w:p>
      <w:pPr>
        <w:numPr>
          <w:ilvl w:val="0"/>
          <w:numId w:val="10"/>
        </w:numPr>
        <w:spacing w:line="360" w:before="105" w:after="105" w:lineRule="auto"/>
      </w:pPr>
      <w:r>
        <w:rPr>
          <w:rFonts w:eastAsia="georgia" w:cs="georgia" w:ascii="georgia" w:hAnsi="georgia"/>
          <w:color w:val="000000"/>
          <w:sz w:val="21"/>
        </w:rPr>
        <w:t xml:space="preserve">Store tesamorelin vials at −20 °C to −80 °C in their original, tightly sealed containers.[conversation_history:1]</w:t>
      </w:r>
    </w:p>
    <w:p>
      <w:pPr>
        <w:numPr>
          <w:ilvl w:val="0"/>
          <w:numId w:val="10"/>
        </w:numPr>
        <w:spacing w:line="360" w:before="105" w:after="105" w:lineRule="auto"/>
      </w:pPr>
      <w:r>
        <w:rPr>
          <w:rFonts w:eastAsia="georgia" w:cs="georgia" w:ascii="georgia" w:hAnsi="georgia"/>
          <w:color w:val="000000"/>
          <w:sz w:val="21"/>
        </w:rPr>
        <w:t xml:space="preserve">Protect from light and moisture; a desiccated storage environment is recommended.</w:t>
      </w:r>
    </w:p>
    <w:p>
      <w:pPr>
        <w:numPr>
          <w:ilvl w:val="0"/>
          <w:numId w:val="10"/>
        </w:numPr>
        <w:spacing w:line="360" w:before="105" w:after="105" w:lineRule="auto"/>
      </w:pPr>
      <w:r>
        <w:rPr>
          <w:rFonts w:eastAsia="georgia" w:cs="georgia" w:ascii="georgia" w:hAnsi="georgia"/>
          <w:color w:val="000000"/>
          <w:sz w:val="21"/>
        </w:rPr>
        <w:t xml:space="preserve">Minimize repeated transfers between cold storage and room temperature during routine use.</w:t>
      </w:r>
    </w:p>
    <w:p>
      <w:pPr>
        <w:spacing w:line="360" w:before="315" w:after="105" w:lineRule="auto"/>
        <w:ind w:left="-30"/>
        <w:jc w:val="left"/>
      </w:pPr>
      <w:bookmarkStart w:id="18" w:name="reconstitution_guidelines"/>
      <w:r>
        <w:rPr>
          <w:rFonts w:eastAsia="georgia" w:cs="georgia" w:ascii="georgia" w:hAnsi="georgia"/>
          <w:b/>
          <w:color w:val="000000"/>
          <w:sz w:val="24"/>
        </w:rPr>
        <w:t xml:space="preserve">Reconstitution guidelines</w:t>
      </w:r>
      <w:bookmarkEnd w:id="18"/>
    </w:p>
    <w:p>
      <w:pPr>
        <w:numPr>
          <w:ilvl w:val="0"/>
          <w:numId w:val="11"/>
        </w:numPr>
        <w:spacing w:line="360" w:before="105" w:after="105" w:lineRule="auto"/>
      </w:pPr>
      <w:r>
        <w:rPr>
          <w:rFonts w:eastAsia="georgia" w:cs="georgia" w:ascii="georgia" w:hAnsi="georgia"/>
          <w:color w:val="000000"/>
          <w:sz w:val="21"/>
        </w:rPr>
        <w:t xml:space="preserve">Use sterile water, bacteriostatic water (for example, 0.9% benzyl alcohol), or an appropriate sterile buffer (such as PBS) selected according to the experimental system.[conversation_history:1]</w:t>
      </w:r>
    </w:p>
    <w:p>
      <w:pPr>
        <w:numPr>
          <w:ilvl w:val="0"/>
          <w:numId w:val="11"/>
        </w:numPr>
        <w:spacing w:line="360" w:before="105" w:after="105" w:lineRule="auto"/>
      </w:pPr>
      <w:r>
        <w:rPr>
          <w:rFonts w:eastAsia="georgia" w:cs="georgia" w:ascii="georgia" w:hAnsi="georgia"/>
          <w:color w:val="000000"/>
          <w:sz w:val="21"/>
        </w:rPr>
        <w:t xml:space="preserve">Allow vials to warm briefly to room temperature before opening to reduce condensation.</w:t>
      </w:r>
    </w:p>
    <w:p>
      <w:pPr>
        <w:numPr>
          <w:ilvl w:val="0"/>
          <w:numId w:val="11"/>
        </w:numPr>
        <w:spacing w:line="360" w:before="105" w:after="105" w:lineRule="auto"/>
      </w:pPr>
      <w:r>
        <w:rPr>
          <w:rFonts w:eastAsia="georgia" w:cs="georgia" w:ascii="georgia" w:hAnsi="georgia"/>
          <w:color w:val="000000"/>
          <w:sz w:val="21"/>
        </w:rPr>
        <w:t xml:space="preserve">Add solvent slowly down the vial wall and gently swirl or roll until fully dissolved; avoid vigorous shaking to limit mechanical stress.[conversation_history:1]</w:t>
      </w:r>
    </w:p>
    <w:p>
      <w:pPr>
        <w:numPr>
          <w:ilvl w:val="0"/>
          <w:numId w:val="11"/>
        </w:numPr>
        <w:spacing w:line="360" w:before="105" w:after="105" w:lineRule="auto"/>
      </w:pPr>
      <w:r>
        <w:rPr>
          <w:rFonts w:eastAsia="georgia" w:cs="georgia" w:ascii="georgia" w:hAnsi="georgia"/>
          <w:color w:val="000000"/>
          <w:sz w:val="21"/>
        </w:rPr>
        <w:t xml:space="preserve">Because of the peptide’s length (44 amino acids), allow several minutes for complete reconstitution.</w:t>
      </w:r>
    </w:p>
    <w:p>
      <w:pPr>
        <w:numPr>
          <w:ilvl w:val="0"/>
          <w:numId w:val="11"/>
        </w:numPr>
        <w:spacing w:line="360" w:before="105" w:after="105" w:lineRule="auto"/>
      </w:pPr>
      <w:r>
        <w:rPr>
          <w:rFonts w:eastAsia="georgia" w:cs="georgia" w:ascii="georgia" w:hAnsi="georgia"/>
          <w:color w:val="000000"/>
          <w:sz w:val="21"/>
        </w:rPr>
        <w:t xml:space="preserve">Many laboratories prepare stock solutions in the 0.1–1 mg/mL range; final working concentrations should be defined by the investigator.</w:t>
      </w:r>
    </w:p>
    <w:p>
      <w:pPr>
        <w:spacing w:line="360" w:before="315" w:after="105" w:lineRule="auto"/>
        <w:ind w:left="-30"/>
        <w:jc w:val="left"/>
      </w:pPr>
      <w:bookmarkStart w:id="19" w:name="reconstituted_solution_storage"/>
      <w:r>
        <w:rPr>
          <w:rFonts w:eastAsia="georgia" w:cs="georgia" w:ascii="georgia" w:hAnsi="georgia"/>
          <w:b/>
          <w:color w:val="000000"/>
          <w:sz w:val="24"/>
        </w:rPr>
        <w:t xml:space="preserve">Reconstituted solution storage</w:t>
      </w:r>
      <w:bookmarkEnd w:id="19"/>
    </w:p>
    <w:p>
      <w:pPr>
        <w:numPr>
          <w:ilvl w:val="0"/>
          <w:numId w:val="12"/>
        </w:numPr>
        <w:spacing w:line="360" w:before="105" w:after="105" w:lineRule="auto"/>
      </w:pPr>
      <w:r>
        <w:rPr>
          <w:rFonts w:eastAsia="georgia" w:cs="georgia" w:ascii="georgia" w:hAnsi="georgia"/>
          <w:color w:val="000000"/>
          <w:sz w:val="21"/>
        </w:rPr>
        <w:t xml:space="preserve">Short‑term: store at 2–8 °C for approximately 7–10 days in sterile, sealed containers.[conversation_history:1]</w:t>
      </w:r>
    </w:p>
    <w:p>
      <w:pPr>
        <w:numPr>
          <w:ilvl w:val="0"/>
          <w:numId w:val="12"/>
        </w:numPr>
        <w:spacing w:line="360" w:before="105" w:after="105" w:lineRule="auto"/>
      </w:pPr>
      <w:r>
        <w:rPr>
          <w:rFonts w:eastAsia="georgia" w:cs="georgia" w:ascii="georgia" w:hAnsi="georgia"/>
          <w:color w:val="000000"/>
          <w:sz w:val="21"/>
        </w:rPr>
        <w:t xml:space="preserve">Long‑term: partition into single‑use aliquots and store at −20 °C or below to reduce freeze–thaw cycles.[conversation_history:1]</w:t>
      </w:r>
    </w:p>
    <w:p>
      <w:pPr>
        <w:numPr>
          <w:ilvl w:val="0"/>
          <w:numId w:val="12"/>
        </w:numPr>
        <w:spacing w:line="360" w:before="105" w:after="105" w:lineRule="auto"/>
      </w:pPr>
      <w:r>
        <w:rPr>
          <w:rFonts w:eastAsia="georgia" w:cs="georgia" w:ascii="georgia" w:hAnsi="georgia"/>
          <w:color w:val="000000"/>
          <w:sz w:val="21"/>
        </w:rPr>
        <w:t xml:space="preserve">Avoid more than 2–3 freeze–thaw events for any given aliquot, as repeated cycling can degrade peptide quality.[conversation_history:1]</w:t>
      </w:r>
    </w:p>
    <w:p>
      <w:pPr>
        <w:spacing w:line="360" w:after="210" w:lineRule="auto"/>
      </w:pPr>
      <w:r>
        <w:rPr>
          <w:rFonts w:eastAsia="georgia" w:cs="georgia" w:ascii="georgia" w:hAnsi="georgia"/>
          <w:color w:val="000000"/>
        </w:rPr>
        <w:t xml:space="preserve">These guidelines reflect common peptide‑handling practice and information reported in technical and clinical literature; each laboratory should confirm stability under its own conditions.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 w:name="quality_purity_and_analytical_cha_7a98cc"/>
      <w:r>
        <w:rPr>
          <w:rFonts w:eastAsia="georgia" w:cs="georgia" w:ascii="georgia" w:hAnsi="georgia"/>
          <w:b/>
          <w:color w:val="000000"/>
          <w:sz w:val="24"/>
        </w:rPr>
        <w:t xml:space="preserve">Quality, purity, and analytical characterization</w:t>
      </w:r>
      <w:bookmarkEnd w:id="20"/>
    </w:p>
    <w:p>
      <w:pPr>
        <w:spacing w:line="360" w:after="210" w:lineRule="auto"/>
      </w:pPr>
      <w:r>
        <w:rPr>
          <w:rFonts w:eastAsia="georgia" w:cs="georgia" w:ascii="georgia" w:hAnsi="georgia"/>
          <w:color w:val="000000"/>
        </w:rPr>
        <w:t xml:space="preserve">Each research batch of tesamorelin is typically qualified using standard peptide analytics.</w:t>
      </w:r>
    </w:p>
    <w:p>
      <w:pPr>
        <w:spacing w:line="360" w:after="210" w:lineRule="auto"/>
      </w:pPr>
      <w:r>
        <w:rPr>
          <w:rFonts w:eastAsia="georgia" w:cs="georgia" w:ascii="georgia" w:hAnsi="georgia"/>
          <w:color w:val="000000"/>
        </w:rPr>
        <w:t xml:space="preserve">A representative quality profile includes:</w:t>
      </w:r>
    </w:p>
    <w:p>
      <w:pPr>
        <w:numPr>
          <w:ilvl w:val="0"/>
          <w:numId w:val="13"/>
        </w:numPr>
        <w:spacing w:line="360" w:after="210" w:lineRule="auto"/>
      </w:pPr>
      <w:r>
        <w:rPr>
          <w:rFonts w:eastAsia="georgia" w:cs="georgia" w:ascii="georgia" w:hAnsi="georgia"/>
          <w:b/>
          <w:color w:val="000000"/>
          <w:sz w:val="21"/>
        </w:rPr>
        <w:t xml:space="preserve">Purity</w:t>
      </w:r>
    </w:p>
    <w:p>
      <w:pPr>
        <w:numPr>
          <w:ilvl w:val="1"/>
          <w:numId w:val="13"/>
        </w:numPr>
        <w:spacing w:line="360" w:before="105" w:after="105" w:lineRule="auto"/>
      </w:pPr>
      <w:r>
        <w:rPr>
          <w:rFonts w:eastAsia="georgia" w:cs="georgia" w:ascii="georgia" w:hAnsi="georgia"/>
          <w:color w:val="000000"/>
          <w:sz w:val="21"/>
        </w:rPr>
        <w:t xml:space="preserve">≥ 98% purity by reversed‑phase HPLC.</w:t>
      </w:r>
    </w:p>
    <w:p>
      <w:pPr>
        <w:numPr>
          <w:ilvl w:val="1"/>
          <w:numId w:val="13"/>
        </w:numPr>
        <w:spacing w:line="360" w:before="105" w:after="105" w:lineRule="auto"/>
      </w:pPr>
      <w:r>
        <w:rPr>
          <w:rFonts w:eastAsia="georgia" w:cs="georgia" w:ascii="georgia" w:hAnsi="georgia"/>
          <w:color w:val="000000"/>
          <w:sz w:val="21"/>
        </w:rPr>
        <w:t xml:space="preserve">UV detection at peptide‑appropriate wavelengths (for example, around 214 nm).</w:t>
      </w:r>
    </w:p>
    <w:p>
      <w:pPr>
        <w:numPr>
          <w:ilvl w:val="1"/>
          <w:numId w:val="13"/>
        </w:numPr>
        <w:spacing w:line="360" w:before="105" w:after="105" w:lineRule="auto"/>
      </w:pPr>
      <w:r>
        <w:rPr>
          <w:rFonts w:eastAsia="georgia" w:cs="georgia" w:ascii="georgia" w:hAnsi="georgia"/>
          <w:color w:val="000000"/>
          <w:sz w:val="21"/>
        </w:rPr>
        <w:t xml:space="preserve">Comprehensive peak integration and related‑substance profiling.[conversation_history:1]</w:t>
      </w:r>
    </w:p>
    <w:p>
      <w:pPr>
        <w:numPr>
          <w:ilvl w:val="0"/>
          <w:numId w:val="13"/>
        </w:numPr>
        <w:spacing w:line="360" w:after="210" w:lineRule="auto"/>
      </w:pPr>
      <w:r>
        <w:rPr>
          <w:rFonts w:eastAsia="georgia" w:cs="georgia" w:ascii="georgia" w:hAnsi="georgia"/>
          <w:b/>
          <w:color w:val="000000"/>
          <w:sz w:val="21"/>
        </w:rPr>
        <w:t xml:space="preserve">Identity and content</w:t>
      </w:r>
    </w:p>
    <w:p>
      <w:pPr>
        <w:numPr>
          <w:ilvl w:val="1"/>
          <w:numId w:val="13"/>
        </w:numPr>
        <w:spacing w:line="360" w:before="105" w:after="105" w:lineRule="auto"/>
      </w:pPr>
      <w:r>
        <w:rPr>
          <w:rFonts w:eastAsia="georgia" w:cs="georgia" w:ascii="georgia" w:hAnsi="georgia"/>
          <w:color w:val="000000"/>
          <w:sz w:val="21"/>
        </w:rPr>
        <w:t xml:space="preserve">Electrospray ionization mass spectrometry (ESI‑MS) confirming the expected molecular weight for the acylated 44–amino acid peptide.[conversation_history:1]</w:t>
      </w:r>
    </w:p>
    <w:p>
      <w:pPr>
        <w:numPr>
          <w:ilvl w:val="1"/>
          <w:numId w:val="13"/>
        </w:numPr>
        <w:spacing w:line="360" w:before="105" w:after="105" w:lineRule="auto"/>
      </w:pPr>
      <w:r>
        <w:rPr>
          <w:rFonts w:eastAsia="georgia" w:cs="georgia" w:ascii="georgia" w:hAnsi="georgia"/>
          <w:color w:val="000000"/>
          <w:sz w:val="21"/>
        </w:rPr>
        <w:t xml:space="preserve">Amino‑acid composition analysis to verify sequence content.</w:t>
      </w:r>
    </w:p>
    <w:p>
      <w:pPr>
        <w:numPr>
          <w:ilvl w:val="1"/>
          <w:numId w:val="13"/>
        </w:numPr>
        <w:spacing w:line="360" w:before="105" w:after="105" w:lineRule="auto"/>
      </w:pPr>
      <w:r>
        <w:rPr>
          <w:rFonts w:eastAsia="georgia" w:cs="georgia" w:ascii="georgia" w:hAnsi="georgia"/>
          <w:color w:val="000000"/>
          <w:sz w:val="21"/>
        </w:rPr>
        <w:t xml:space="preserve">Peptide content determination to estimate the proportion of active peptide in the lyophilized material.[conversation_history:1]</w:t>
      </w:r>
    </w:p>
    <w:p>
      <w:pPr>
        <w:numPr>
          <w:ilvl w:val="0"/>
          <w:numId w:val="13"/>
        </w:numPr>
        <w:spacing w:line="360" w:after="210" w:lineRule="auto"/>
      </w:pPr>
      <w:r>
        <w:rPr>
          <w:rFonts w:eastAsia="georgia" w:cs="georgia" w:ascii="georgia" w:hAnsi="georgia"/>
          <w:b/>
          <w:color w:val="000000"/>
          <w:sz w:val="21"/>
        </w:rPr>
        <w:t xml:space="preserve">Contaminant and stability testing</w:t>
      </w:r>
    </w:p>
    <w:p>
      <w:pPr>
        <w:numPr>
          <w:ilvl w:val="1"/>
          <w:numId w:val="13"/>
        </w:numPr>
        <w:spacing w:line="360" w:before="105" w:after="105" w:lineRule="auto"/>
      </w:pPr>
      <w:r>
        <w:rPr>
          <w:rFonts w:eastAsia="georgia" w:cs="georgia" w:ascii="georgia" w:hAnsi="georgia"/>
          <w:color w:val="000000"/>
          <w:sz w:val="21"/>
        </w:rPr>
        <w:t xml:space="preserve">Bacterial endotoxin testing (for example, &lt; 5 EU/mg using LAL methods) where specified.[conversation_history:1]</w:t>
      </w:r>
    </w:p>
    <w:p>
      <w:pPr>
        <w:numPr>
          <w:ilvl w:val="1"/>
          <w:numId w:val="13"/>
        </w:numPr>
        <w:spacing w:line="360" w:before="105" w:after="105" w:lineRule="auto"/>
      </w:pPr>
      <w:r>
        <w:rPr>
          <w:rFonts w:eastAsia="georgia" w:cs="georgia" w:ascii="georgia" w:hAnsi="georgia"/>
          <w:color w:val="000000"/>
          <w:sz w:val="21"/>
        </w:rPr>
        <w:t xml:space="preserve">Heavy‑metal and residual‑solvent analysis consistent with typical research‑grade specifications.[conversation_history:1]</w:t>
      </w:r>
    </w:p>
    <w:p>
      <w:pPr>
        <w:numPr>
          <w:ilvl w:val="1"/>
          <w:numId w:val="13"/>
        </w:numPr>
        <w:spacing w:line="360" w:before="105" w:after="105" w:lineRule="auto"/>
      </w:pPr>
      <w:r>
        <w:rPr>
          <w:rFonts w:eastAsia="georgia" w:cs="georgia" w:ascii="georgia" w:hAnsi="georgia"/>
          <w:color w:val="000000"/>
          <w:sz w:val="21"/>
        </w:rPr>
        <w:t xml:space="preserve">Water content measurements by methods such as Karl Fischer titration.</w:t>
      </w:r>
    </w:p>
    <w:p>
      <w:pPr>
        <w:numPr>
          <w:ilvl w:val="1"/>
          <w:numId w:val="13"/>
        </w:numPr>
        <w:spacing w:line="360" w:before="105" w:after="105" w:lineRule="auto"/>
      </w:pPr>
      <w:r>
        <w:rPr>
          <w:rFonts w:eastAsia="georgia" w:cs="georgia" w:ascii="georgia" w:hAnsi="georgia"/>
          <w:color w:val="000000"/>
          <w:sz w:val="21"/>
        </w:rPr>
        <w:t xml:space="preserve">Stability data for recommended storage conditions, including solution stability and freeze–thaw tolerance.</w:t>
      </w:r>
    </w:p>
    <w:p>
      <w:pPr>
        <w:spacing w:line="360" w:after="210" w:lineRule="auto"/>
      </w:pPr>
      <w:r>
        <w:rPr>
          <w:rFonts w:eastAsia="georgia" w:cs="georgia" w:ascii="georgia" w:hAnsi="georgia"/>
          <w:color w:val="000000"/>
        </w:rPr>
        <w:t xml:space="preserve">Investigators should always refer to the batch‑specific Certificate of Analysis (COA) for exact data and methods used for the lot they receive.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 w:name="example_research_usage_patterns_i_528aaf"/>
      <w:r>
        <w:rPr>
          <w:rFonts w:eastAsia="georgia" w:cs="georgia" w:ascii="georgia" w:hAnsi="georgia"/>
          <w:b/>
          <w:color w:val="000000"/>
          <w:sz w:val="24"/>
        </w:rPr>
        <w:t xml:space="preserve">Example research usage patterns (illustrative only)</w:t>
      </w:r>
      <w:bookmarkEnd w:id="21"/>
    </w:p>
    <w:p>
      <w:pPr>
        <w:spacing w:line="360" w:after="210" w:lineRule="auto"/>
      </w:pPr>
      <w:r>
        <w:rPr>
          <w:rFonts w:eastAsia="georgia" w:cs="georgia" w:ascii="georgia" w:hAnsi="georgia"/>
          <w:color w:val="000000"/>
        </w:rPr>
        <w:t xml:space="preserve">The research and technical literature provides examples of how tesamorelin has been used in experimental protocols; these examples are descriptive, not prescriptive.[conversation_history:1]</w:t>
      </w:r>
    </w:p>
    <w:p>
      <w:pPr>
        <w:numPr>
          <w:ilvl w:val="0"/>
          <w:numId w:val="14"/>
        </w:numPr>
        <w:spacing w:line="360" w:after="210" w:lineRule="auto"/>
      </w:pPr>
      <w:r>
        <w:rPr>
          <w:rFonts w:eastAsia="georgia" w:cs="georgia" w:ascii="georgia" w:hAnsi="georgia"/>
          <w:b/>
          <w:color w:val="000000"/>
          <w:sz w:val="21"/>
        </w:rPr>
        <w:t xml:space="preserve">In‑vitro and ex‑vivo systems</w:t>
      </w:r>
    </w:p>
    <w:p>
      <w:pPr>
        <w:numPr>
          <w:ilvl w:val="1"/>
          <w:numId w:val="14"/>
        </w:numPr>
        <w:spacing w:line="360" w:before="105" w:after="105" w:lineRule="auto"/>
      </w:pPr>
      <w:r>
        <w:rPr>
          <w:rFonts w:eastAsia="georgia" w:cs="georgia" w:ascii="georgia" w:hAnsi="georgia"/>
          <w:color w:val="000000"/>
          <w:sz w:val="21"/>
        </w:rPr>
        <w:t xml:space="preserve">Applying tesamorelin to pituitary cell models or tissues expressing GHRH receptors to study GH release dynamics.[conversation_history:1]</w:t>
      </w:r>
    </w:p>
    <w:p>
      <w:pPr>
        <w:numPr>
          <w:ilvl w:val="1"/>
          <w:numId w:val="14"/>
        </w:numPr>
        <w:spacing w:line="360" w:before="105" w:after="105" w:lineRule="auto"/>
      </w:pPr>
      <w:r>
        <w:rPr>
          <w:rFonts w:eastAsia="georgia" w:cs="georgia" w:ascii="georgia" w:hAnsi="georgia"/>
          <w:color w:val="000000"/>
          <w:sz w:val="21"/>
        </w:rPr>
        <w:t xml:space="preserve">Assessing downstream IGF‑1 and IGFBP‑3 production in hepatocyte cultures or liver slice models.</w:t>
      </w:r>
    </w:p>
    <w:p>
      <w:pPr>
        <w:numPr>
          <w:ilvl w:val="0"/>
          <w:numId w:val="14"/>
        </w:numPr>
        <w:spacing w:line="360" w:after="210" w:lineRule="auto"/>
      </w:pPr>
      <w:r>
        <w:rPr>
          <w:rFonts w:eastAsia="georgia" w:cs="georgia" w:ascii="georgia" w:hAnsi="georgia"/>
          <w:b/>
          <w:color w:val="000000"/>
          <w:sz w:val="21"/>
        </w:rPr>
        <w:t xml:space="preserve">Animal and clinical‑research models</w:t>
      </w:r>
    </w:p>
    <w:p>
      <w:pPr>
        <w:numPr>
          <w:ilvl w:val="1"/>
          <w:numId w:val="14"/>
        </w:numPr>
        <w:spacing w:line="360" w:before="105" w:after="105" w:lineRule="auto"/>
      </w:pPr>
      <w:r>
        <w:rPr>
          <w:rFonts w:eastAsia="georgia" w:cs="georgia" w:ascii="georgia" w:hAnsi="georgia"/>
          <w:color w:val="000000"/>
          <w:sz w:val="21"/>
        </w:rPr>
        <w:t xml:space="preserve">Using tesamorelin in models of visceral obesity, lipodystrophy, or NAFLD to track changes in fat distribution, liver fat, and metabolic markers over time.[conversation_history:1]</w:t>
      </w:r>
    </w:p>
    <w:p>
      <w:pPr>
        <w:numPr>
          <w:ilvl w:val="1"/>
          <w:numId w:val="14"/>
        </w:numPr>
        <w:spacing w:line="360" w:before="105" w:after="105" w:lineRule="auto"/>
      </w:pPr>
      <w:r>
        <w:rPr>
          <w:rFonts w:eastAsia="georgia" w:cs="georgia" w:ascii="georgia" w:hAnsi="georgia"/>
          <w:color w:val="000000"/>
          <w:sz w:val="21"/>
        </w:rPr>
        <w:t xml:space="preserve">Combining exposure with imaging, metabolic testing, and molecular assays to understand GH‑axis impacts.</w:t>
      </w:r>
    </w:p>
    <w:p>
      <w:pPr>
        <w:numPr>
          <w:ilvl w:val="0"/>
          <w:numId w:val="14"/>
        </w:numPr>
        <w:spacing w:line="360" w:after="210" w:lineRule="auto"/>
      </w:pPr>
      <w:r>
        <w:rPr>
          <w:rFonts w:eastAsia="georgia" w:cs="georgia" w:ascii="georgia" w:hAnsi="georgia"/>
          <w:b/>
          <w:color w:val="000000"/>
          <w:sz w:val="21"/>
        </w:rPr>
        <w:t xml:space="preserve">Comparative pharmacology studies</w:t>
      </w:r>
    </w:p>
    <w:p>
      <w:pPr>
        <w:numPr>
          <w:ilvl w:val="1"/>
          <w:numId w:val="14"/>
        </w:numPr>
        <w:spacing w:line="360" w:before="105" w:after="105" w:lineRule="auto"/>
      </w:pPr>
      <w:r>
        <w:rPr>
          <w:rFonts w:eastAsia="georgia" w:cs="georgia" w:ascii="georgia" w:hAnsi="georgia"/>
          <w:color w:val="000000"/>
          <w:sz w:val="21"/>
        </w:rPr>
        <w:t xml:space="preserve">Evaluating tesamorelin alongside shorter GHRH analogs, growth hormone secretagogues, or IGF‑1 analogs to compare kinetics and biological effects.</w:t>
      </w:r>
    </w:p>
    <w:p>
      <w:pPr>
        <w:spacing w:line="360" w:after="210" w:lineRule="auto"/>
      </w:pPr>
      <w:r>
        <w:rPr>
          <w:rFonts w:eastAsia="georgia" w:cs="georgia" w:ascii="georgia" w:hAnsi="georgia"/>
          <w:color w:val="000000"/>
        </w:rPr>
        <w:t xml:space="preserve">All protocol decisions, including dose selection, duration, and safety monitoring, must be made by the researcher and reviewed by appropriate institutional committees.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 w:name="why_this_description_suits_a_rese_aa26c8"/>
      <w:r>
        <w:rPr>
          <w:rFonts w:eastAsia="georgia" w:cs="georgia" w:ascii="georgia" w:hAnsi="georgia"/>
          <w:b/>
          <w:color w:val="000000"/>
          <w:sz w:val="24"/>
        </w:rPr>
        <w:t xml:space="preserve">Why this description suits a research‑ecommerce product page</w:t>
      </w:r>
      <w:bookmarkEnd w:id="22"/>
    </w:p>
    <w:p>
      <w:pPr>
        <w:spacing w:line="360" w:after="210" w:lineRule="auto"/>
      </w:pPr>
      <w:r>
        <w:rPr>
          <w:rFonts w:eastAsia="georgia" w:cs="georgia" w:ascii="georgia" w:hAnsi="georgia"/>
          <w:color w:val="000000"/>
        </w:rPr>
        <w:t xml:space="preserve">For a research peptide storefront, buyers need enough scientific context to understand what the peptide does, how it is typically handled, and where it fits in experimental planning, without marketing‑style claims or clinical promises.[conversation_history:1]</w:t>
      </w:r>
    </w:p>
    <w:p>
      <w:pPr>
        <w:spacing w:line="360" w:after="210" w:lineRule="auto"/>
      </w:pPr>
      <w:r>
        <w:rPr>
          <w:rFonts w:eastAsia="georgia" w:cs="georgia" w:ascii="georgia" w:hAnsi="georgia"/>
          <w:color w:val="000000"/>
        </w:rPr>
        <w:t xml:space="preserve">This description:</w:t>
      </w:r>
    </w:p>
    <w:p>
      <w:pPr>
        <w:numPr>
          <w:ilvl w:val="0"/>
          <w:numId w:val="15"/>
        </w:numPr>
        <w:spacing w:line="360" w:before="105" w:after="105" w:lineRule="auto"/>
      </w:pPr>
      <w:r>
        <w:rPr>
          <w:rFonts w:eastAsia="georgia" w:cs="georgia" w:ascii="georgia" w:hAnsi="georgia"/>
          <w:color w:val="000000"/>
          <w:sz w:val="21"/>
        </w:rPr>
        <w:t xml:space="preserve">Presents clear technical details (sequence, formula, MW, purity, storage, solubility) in one place.</w:t>
      </w:r>
    </w:p>
    <w:p>
      <w:pPr>
        <w:numPr>
          <w:ilvl w:val="0"/>
          <w:numId w:val="15"/>
        </w:numPr>
        <w:spacing w:line="360" w:before="105" w:after="105" w:lineRule="auto"/>
      </w:pPr>
      <w:r>
        <w:rPr>
          <w:rFonts w:eastAsia="georgia" w:cs="georgia" w:ascii="georgia" w:hAnsi="georgia"/>
          <w:color w:val="000000"/>
          <w:sz w:val="21"/>
        </w:rPr>
        <w:t xml:space="preserve">Explains tesamorelin’s role within the wider GH/IGF‑1 research toolkit in straightforward, non‑promotional language.</w:t>
      </w:r>
    </w:p>
    <w:p>
      <w:pPr>
        <w:numPr>
          <w:ilvl w:val="0"/>
          <w:numId w:val="15"/>
        </w:numPr>
        <w:spacing w:line="360" w:before="105" w:after="105" w:lineRule="auto"/>
      </w:pPr>
      <w:r>
        <w:rPr>
          <w:rFonts w:eastAsia="georgia" w:cs="georgia" w:ascii="georgia" w:hAnsi="georgia"/>
          <w:color w:val="000000"/>
          <w:sz w:val="21"/>
        </w:rPr>
        <w:t xml:space="preserve">Highlights major research directions (visceral fat, NAFLD, lipid and cardiovascular markers, neurocognitive work, aging) while keeping everything firmly in a research context.[conversation_history:1]</w:t>
      </w:r>
    </w:p>
    <w:p>
      <w:pPr>
        <w:numPr>
          <w:ilvl w:val="0"/>
          <w:numId w:val="15"/>
        </w:numPr>
        <w:spacing w:line="360" w:before="105" w:after="105" w:lineRule="auto"/>
      </w:pPr>
      <w:r>
        <w:rPr>
          <w:rFonts w:eastAsia="georgia" w:cs="georgia" w:ascii="georgia" w:hAnsi="georgia"/>
          <w:color w:val="000000"/>
          <w:sz w:val="21"/>
        </w:rPr>
        <w:t xml:space="preserve">Includes practical handling and quality information that labs expect when assessing research‑grade peptides.</w:t>
      </w:r>
    </w:p>
    <w:p>
      <w:pPr>
        <w:spacing w:line="360" w:after="210" w:lineRule="auto"/>
      </w:pPr>
      <w:r>
        <w:rPr>
          <w:rFonts w:eastAsia="georgia" w:cs="georgia" w:ascii="georgia" w:hAnsi="georgia"/>
          <w:color w:val="000000"/>
        </w:rPr>
        <w:t xml:space="preserve">You can use this text directly on your product page, shorten it for a public‑facing summary, or split it between on‑page copy and a downloadable technical sheet.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 w:name="research_use_only_and_compliance_notice"/>
      <w:r>
        <w:rPr>
          <w:rFonts w:eastAsia="georgia" w:cs="georgia" w:ascii="georgia" w:hAnsi="georgia"/>
          <w:b/>
          <w:color w:val="000000"/>
          <w:sz w:val="24"/>
        </w:rPr>
        <w:t xml:space="preserve">Research‑use‑only and compliance notice</w:t>
      </w:r>
      <w:bookmarkEnd w:id="23"/>
    </w:p>
    <w:p>
      <w:pPr>
        <w:spacing w:line="360" w:after="210" w:lineRule="auto"/>
        <w:ind w:left="630"/>
      </w:pPr>
      <w:r>
        <w:rPr>
          <w:rFonts w:eastAsia="georgia" w:cs="georgia" w:ascii="georgia" w:hAnsi="georgia"/>
          <w:b/>
          <w:color w:val="000000"/>
        </w:rPr>
        <w:t xml:space="preserve">FOR LABORATORY RESEARCH USE ONLY – NOT FOR HUMAN OR VETERINARY USE</w:t>
      </w:r>
      <w:r>
        <w:rPr>
          <w:rFonts w:eastAsia="georgia" w:cs="georgia" w:ascii="georgia" w:hAnsi="georgia"/>
          <w:color w:val="000000"/>
        </w:rPr>
        <w:br w:type="textWrapping"/>
      </w:r>
      <w:r>
        <w:rPr>
          <w:rFonts w:eastAsia="georgia" w:cs="georgia" w:ascii="georgia" w:hAnsi="georgia"/>
          <w:color w:val="000000"/>
        </w:rPr>
        <w:t xml:space="preserve">Tesamorelin (10 mg) is supplied solely as a research chemical for in‑vitro and preclinical laboratory applications. It is not a drug, food, cosmetic, dietary supplement, or medical product and has not been evaluated or approved by the FDA or any other regulatory authority for use in humans or animals.</w:t>
      </w:r>
    </w:p>
    <w:p>
      <w:pPr>
        <w:spacing w:line="360" w:after="210" w:lineRule="auto"/>
        <w:ind w:left="630"/>
      </w:pPr>
      <w:r>
        <w:rPr>
          <w:rFonts w:eastAsia="georgia" w:cs="georgia" w:ascii="georgia" w:hAnsi="georgia"/>
          <w:color w:val="000000"/>
        </w:rPr>
        <w:t xml:space="preserve">This material must not be used for diagnosis, treatment, mitigation, cure, or prevention of any disease and must not be administered to humans or animals under any circumstances outside properly approved research protocols. Handling should be restricted to qualified professionals working in appropriately equipped research facilities and operating under institutional safety, ethical, and compliance guidelines.</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2026-04-27T17:12:12.219Z</dcterms:created>
  <dcterms:modified xsi:type="dcterms:W3CDTF">2026-04-27T17:12:12.219Z</dcterms:modified>
</cp:coreProperties>
</file>