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5C3A"/>
          <w:sz w:val="56"/>
          <w:szCs w:val="56"/>
        </w:rPr>
        <w:t xml:space="preserve">Tirzepatide</w:t>
      </w:r>
    </w:p>
    <w:p>
      <w:pPr>
        <w:spacing w:after="60" w:before="0"/>
      </w:pPr>
      <w:r>
        <w:rPr>
          <w:rFonts w:ascii="Arial" w:cs="Arial" w:eastAsia="Arial" w:hAnsi="Arial"/>
          <w:color w:val="555555"/>
          <w:sz w:val="26"/>
          <w:szCs w:val="26"/>
        </w:rPr>
        <w:t xml:space="preserve">GLP-1 / GIP Dual Receptor Agonist  |  20mg  |  Research Grade</w:t>
      </w:r>
    </w:p>
    <w:p>
      <w:pPr>
        <w:spacing w:after="60" w:before="0"/>
      </w:pPr>
      <w:r>
        <w:rPr>
          <w:rFonts w:ascii="Arial" w:cs="Arial" w:eastAsia="Arial" w:hAnsi="Arial"/>
          <w:b/>
          <w:bCs/>
          <w:color w:val="1A5C3A"/>
          <w:sz w:val="20"/>
          <w:szCs w:val="20"/>
        </w:rPr>
        <w:t xml:space="preserve">99%+ Purity  </w:t>
      </w:r>
      <w:r>
        <w:rPr>
          <w:rFonts w:ascii="Arial" w:cs="Arial" w:eastAsia="Arial" w:hAnsi="Arial"/>
          <w:color w:val="AAAAAA"/>
          <w:sz w:val="20"/>
          <w:szCs w:val="20"/>
        </w:rPr>
        <w:t xml:space="preserve"> | </w:t>
      </w:r>
      <w:r>
        <w:rPr>
          <w:rFonts w:ascii="Arial" w:cs="Arial" w:eastAsia="Arial" w:hAnsi="Arial"/>
          <w:b/>
          <w:bCs/>
          <w:color w:val="0070B8"/>
          <w:sz w:val="20"/>
          <w:szCs w:val="20"/>
        </w:rPr>
        <w:t xml:space="preserve">  USA Manufactured  </w:t>
      </w:r>
      <w:r>
        <w:rPr>
          <w:rFonts w:ascii="Arial" w:cs="Arial" w:eastAsia="Arial" w:hAnsi="Arial"/>
          <w:color w:val="AAAAAA"/>
          <w:sz w:val="20"/>
          <w:szCs w:val="20"/>
        </w:rPr>
        <w:t xml:space="preserve"> | </w:t>
      </w:r>
      <w:r>
        <w:rPr>
          <w:rFonts w:ascii="Arial" w:cs="Arial" w:eastAsia="Arial" w:hAnsi="Arial"/>
          <w:b/>
          <w:bCs/>
          <w:color w:val="7B4F9E"/>
          <w:sz w:val="20"/>
          <w:szCs w:val="20"/>
        </w:rPr>
        <w:t xml:space="preserve">  GMP Standards  </w:t>
      </w:r>
      <w:r>
        <w:rPr>
          <w:rFonts w:ascii="Arial" w:cs="Arial" w:eastAsia="Arial" w:hAnsi="Arial"/>
          <w:color w:val="AAAAAA"/>
          <w:sz w:val="20"/>
          <w:szCs w:val="20"/>
        </w:rPr>
        <w:t xml:space="preserve"> | </w:t>
      </w:r>
      <w:r>
        <w:rPr>
          <w:rFonts w:ascii="Arial" w:cs="Arial" w:eastAsia="Arial" w:hAnsi="Arial"/>
          <w:b/>
          <w:bCs/>
          <w:color w:val="B87333"/>
          <w:sz w:val="20"/>
          <w:szCs w:val="20"/>
        </w:rPr>
        <w:t xml:space="preserve">  Lyophilized Powder</w:t>
      </w:r>
    </w:p>
    <w:p>
      <w:pPr>
        <w:pBdr>
          <w:bottom w:val="single" w:color="E2E7F0" w:sz="4" w:space="1"/>
        </w:pBdr>
        <w:spacing w:after="320" w:before="80"/>
      </w:pPr>
      <w:r>
        <w:rPr>
          <w:rFonts w:ascii="Arial" w:cs="Arial" w:eastAsia="Arial" w:hAnsi="Arial"/>
          <w:b/>
          <w:bCs/>
          <w:color w:val="C0392B"/>
          <w:sz w:val="20"/>
          <w:szCs w:val="20"/>
        </w:rPr>
        <w:t xml:space="preserve">⚠️ For In Vitro Laboratory Research Only — Not for Human or Veterinary Use</w:t>
      </w:r>
    </w:p>
    <w:p>
      <w:pPr>
        <w:pStyle w:val="Heading1"/>
        <w:spacing w:after="120" w:before="360"/>
      </w:pPr>
      <w:r>
        <w:rPr>
          <w:rFonts w:ascii="Arial" w:cs="Arial" w:eastAsia="Arial" w:hAnsi="Arial"/>
          <w:b/>
          <w:bCs/>
          <w:color w:val="1A5C3A"/>
          <w:sz w:val="32"/>
          <w:szCs w:val="32"/>
        </w:rPr>
        <w:t xml:space="preserve">What Is Tirzepatide?</w:t>
      </w:r>
    </w:p>
    <w:p>
      <w:pPr>
        <w:spacing w:after="120" w:before="60" w:line="276"/>
      </w:pPr>
      <w:r>
        <w:rPr>
          <w:rFonts w:ascii="Arial" w:cs="Arial" w:eastAsia="Arial" w:hAnsi="Arial"/>
          <w:color w:val="333333"/>
          <w:sz w:val="22"/>
          <w:szCs w:val="22"/>
        </w:rPr>
        <w:t xml:space="preserve">Tirzepatide is a synthetic 39-amino acid peptide engineered to activate two separate but related hormone receptors simultaneously — the glucagon-like peptide-1 receptor (GLP-1R) and the glucose-dependent insulinotropic polypeptide receptor (GIPR). This makes it what researchers call a dual incretin agonist, a class of compounds that mimics two naturally occurring gut hormones at once.</w:t>
      </w:r>
    </w:p>
    <w:p>
      <w:pPr>
        <w:spacing w:after="120" w:before="60" w:line="276"/>
      </w:pPr>
      <w:r>
        <w:rPr>
          <w:rFonts w:ascii="Arial" w:cs="Arial" w:eastAsia="Arial" w:hAnsi="Arial"/>
          <w:color w:val="333333"/>
          <w:sz w:val="22"/>
          <w:szCs w:val="22"/>
        </w:rPr>
        <w:t xml:space="preserve">The peptide was first developed by Eli Lilly and Company and carries the internal research code LY3298176. What sets tirzepatide apart structurally from earlier single-agonist peptides is a C20 fatty diacid chain attached via a gamma-glutamic acid linker at the lysine residue at position 20 in the sequence. This lipid modification allows the peptide to bind reversibly to albumin in plasma, which dramatically slows its clearance and extends its circulating half-life to approximately five days — making once-weekly dosing feasible in research models.</w:t>
      </w:r>
    </w:p>
    <w:p>
      <w:pPr>
        <w:spacing w:after="120" w:before="60" w:line="276"/>
      </w:pPr>
      <w:r>
        <w:rPr>
          <w:rFonts w:ascii="Arial" w:cs="Arial" w:eastAsia="Arial" w:hAnsi="Arial"/>
          <w:color w:val="333333"/>
          <w:sz w:val="22"/>
          <w:szCs w:val="22"/>
        </w:rPr>
        <w:t xml:space="preserve">In laboratory settings, tirzepatide is primarily used to study metabolic signaling pathways, energy balance regulation, glucose handling, and the interplay between gut hormones and the central nervous system. It is supplied as a lyophilized (freeze-dried) white to off-white powder in research-grade sealed vials.</w:t>
      </w:r>
    </w:p>
    <w:p>
      <w:pPr>
        <w:spacing w:after="120" w:before="60" w:line="276"/>
      </w:pPr>
      <w:r>
        <w:rPr>
          <w:rFonts w:ascii="Arial" w:cs="Arial" w:eastAsia="Arial" w:hAnsi="Arial"/>
          <w:color w:val="333333"/>
          <w:sz w:val="22"/>
          <w:szCs w:val="22"/>
        </w:rPr>
        <w:t xml:space="preserve">Tirzepatide is for laboratory research use only. It has not been approved by the FDA for any investigational, therapeutic, or clinical application outside of formally supervised clinical trials. It must not be administered to humans or animals outside of approved preclinical research frameworks.</w:t>
      </w:r>
    </w:p>
    <w:p>
      <w:pPr>
        <w:pStyle w:val="Heading1"/>
        <w:spacing w:after="120" w:before="360"/>
      </w:pPr>
      <w:r>
        <w:rPr>
          <w:rFonts w:ascii="Arial" w:cs="Arial" w:eastAsia="Arial" w:hAnsi="Arial"/>
          <w:b/>
          <w:bCs/>
          <w:color w:val="1A5C3A"/>
          <w:sz w:val="32"/>
          <w:szCs w:val="32"/>
        </w:rPr>
        <w:t xml:space="preserve">Peptide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5E8F0" w:sz="1"/>
              <w:left w:val="single" w:color="D5E8F0" w:sz="1"/>
              <w:bottom w:val="single" w:color="D5E8F0" w:sz="1"/>
              <w:right w:val="single" w:color="D5E8F0" w:sz="1"/>
            </w:tcBorders>
            <w:shd w:fill="1A5C3A" w:val="clear"/>
            <w:tcMar>
              <w:top w:type="dxa" w:w="100"/>
              <w:left w:type="dxa" w:w="160"/>
              <w:bottom w:type="dxa" w:w="100"/>
              <w:right w:type="dxa" w:w="120"/>
            </w:tcMar>
          </w:tcPr>
          <w:p>
            <w:r>
              <w:rPr>
                <w:rFonts w:ascii="Arial" w:cs="Arial" w:eastAsia="Arial" w:hAnsi="Arial"/>
                <w:b/>
                <w:bCs/>
                <w:color w:val="FFFFFF"/>
                <w:sz w:val="20"/>
                <w:szCs w:val="20"/>
              </w:rPr>
              <w:t xml:space="preserve">Property</w:t>
            </w:r>
          </w:p>
        </w:tc>
        <w:tc>
          <w:tcPr>
            <w:tcW w:type="dxa" w:w="5760"/>
            <w:tcBorders>
              <w:top w:val="single" w:color="D5E8F0" w:sz="1"/>
              <w:left w:val="single" w:color="D5E8F0" w:sz="1"/>
              <w:bottom w:val="single" w:color="D5E8F0" w:sz="1"/>
              <w:right w:val="single" w:color="D5E8F0" w:sz="1"/>
            </w:tcBorders>
            <w:shd w:fill="1A5C3A" w:val="clear"/>
            <w:tcMar>
              <w:top w:type="dxa" w:w="100"/>
              <w:left w:type="dxa" w:w="160"/>
              <w:bottom w:type="dxa" w:w="100"/>
              <w:right w:type="dxa" w:w="120"/>
            </w:tcMa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5C3A"/>
                <w:sz w:val="20"/>
                <w:szCs w:val="20"/>
              </w:rPr>
              <w:t xml:space="preserve">Peptide Name</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20"/>
                <w:szCs w:val="20"/>
              </w:rPr>
              <w:t xml:space="preserve">Tirzepatide</w:t>
            </w:r>
          </w:p>
        </w:tc>
      </w:tr>
      <w:tr>
        <w:tc>
          <w:tcPr>
            <w:tcW w:type="dxa" w:w="3600"/>
            <w:tcBorders>
              <w:top w:val="single" w:color="CCCCCC" w:sz="1"/>
              <w:left w:val="single" w:color="CCCCCC" w:sz="1"/>
              <w:bottom w:val="single" w:color="CCCCCC" w:sz="1"/>
              <w:right w:val="single" w:color="CCCCCC" w:sz="1"/>
            </w:tcBorders>
            <w:shd w:fill="F0F5F8" w:val="clear"/>
            <w:tcMar>
              <w:top w:type="dxa" w:w="80"/>
              <w:left w:type="dxa" w:w="160"/>
              <w:bottom w:type="dxa" w:w="80"/>
              <w:right w:type="dxa" w:w="120"/>
            </w:tcMar>
          </w:tcPr>
          <w:p>
            <w:r>
              <w:rPr>
                <w:rFonts w:ascii="Arial" w:cs="Arial" w:eastAsia="Arial" w:hAnsi="Arial"/>
                <w:b/>
                <w:bCs/>
                <w:color w:val="1A5C3A"/>
                <w:sz w:val="20"/>
                <w:szCs w:val="20"/>
              </w:rPr>
              <w:t xml:space="preserve">Other Names / Codes</w:t>
            </w:r>
          </w:p>
        </w:tc>
        <w:tc>
          <w:tcPr>
            <w:tcW w:type="dxa" w:w="5760"/>
            <w:tcBorders>
              <w:top w:val="single" w:color="CCCCCC" w:sz="1"/>
              <w:left w:val="single" w:color="CCCCCC" w:sz="1"/>
              <w:bottom w:val="single" w:color="CCCCCC" w:sz="1"/>
              <w:right w:val="single" w:color="CCCCCC" w:sz="1"/>
            </w:tcBorders>
            <w:shd w:fill="F0F5F8" w:val="clear"/>
            <w:tcMar>
              <w:top w:type="dxa" w:w="80"/>
              <w:left w:type="dxa" w:w="160"/>
              <w:bottom w:type="dxa" w:w="80"/>
              <w:right w:type="dxa" w:w="120"/>
            </w:tcMar>
          </w:tcPr>
          <w:p>
            <w:r>
              <w:rPr>
                <w:rFonts w:ascii="Arial" w:cs="Arial" w:eastAsia="Arial" w:hAnsi="Arial"/>
                <w:color w:val="333333"/>
                <w:sz w:val="20"/>
                <w:szCs w:val="20"/>
              </w:rPr>
              <w:t xml:space="preserve">LY3298176, P1206, tirzepatida, tirzepatidum, OYN3CCI6QE</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5C3A"/>
                <w:sz w:val="20"/>
                <w:szCs w:val="20"/>
              </w:rPr>
              <w:t xml:space="preserve">Amino Acid Count</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20"/>
                <w:szCs w:val="20"/>
              </w:rPr>
              <w:t xml:space="preserve">39 amino acids (linear)</w:t>
            </w:r>
          </w:p>
        </w:tc>
      </w:tr>
      <w:tr>
        <w:tc>
          <w:tcPr>
            <w:tcW w:type="dxa" w:w="3600"/>
            <w:tcBorders>
              <w:top w:val="single" w:color="CCCCCC" w:sz="1"/>
              <w:left w:val="single" w:color="CCCCCC" w:sz="1"/>
              <w:bottom w:val="single" w:color="CCCCCC" w:sz="1"/>
              <w:right w:val="single" w:color="CCCCCC" w:sz="1"/>
            </w:tcBorders>
            <w:shd w:fill="F0F5F8" w:val="clear"/>
            <w:tcMar>
              <w:top w:type="dxa" w:w="80"/>
              <w:left w:type="dxa" w:w="160"/>
              <w:bottom w:type="dxa" w:w="80"/>
              <w:right w:type="dxa" w:w="120"/>
            </w:tcMar>
          </w:tcPr>
          <w:p>
            <w:r>
              <w:rPr>
                <w:rFonts w:ascii="Arial" w:cs="Arial" w:eastAsia="Arial" w:hAnsi="Arial"/>
                <w:b/>
                <w:bCs/>
                <w:color w:val="1A5C3A"/>
                <w:sz w:val="20"/>
                <w:szCs w:val="20"/>
              </w:rPr>
              <w:t xml:space="preserve">Molecular Formula</w:t>
            </w:r>
          </w:p>
        </w:tc>
        <w:tc>
          <w:tcPr>
            <w:tcW w:type="dxa" w:w="5760"/>
            <w:tcBorders>
              <w:top w:val="single" w:color="CCCCCC" w:sz="1"/>
              <w:left w:val="single" w:color="CCCCCC" w:sz="1"/>
              <w:bottom w:val="single" w:color="CCCCCC" w:sz="1"/>
              <w:right w:val="single" w:color="CCCCCC" w:sz="1"/>
            </w:tcBorders>
            <w:shd w:fill="F0F5F8" w:val="clear"/>
            <w:tcMar>
              <w:top w:type="dxa" w:w="80"/>
              <w:left w:type="dxa" w:w="160"/>
              <w:bottom w:type="dxa" w:w="80"/>
              <w:right w:type="dxa" w:w="120"/>
            </w:tcMar>
          </w:tcPr>
          <w:p>
            <w:r>
              <w:rPr>
                <w:rFonts w:ascii="Arial" w:cs="Arial" w:eastAsia="Arial" w:hAnsi="Arial"/>
                <w:color w:val="333333"/>
                <w:sz w:val="20"/>
                <w:szCs w:val="20"/>
              </w:rPr>
              <w:t xml:space="preserve">C₂₂₅H₃₄₈N₄₈O₆₈</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5C3A"/>
                <w:sz w:val="20"/>
                <w:szCs w:val="20"/>
              </w:rPr>
              <w:t xml:space="preserve">Molecular Weight</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20"/>
                <w:szCs w:val="20"/>
              </w:rPr>
              <w:t xml:space="preserve">≈4,813 Da (4813.48 g/mol)</w:t>
            </w:r>
          </w:p>
        </w:tc>
      </w:tr>
      <w:tr>
        <w:tc>
          <w:tcPr>
            <w:tcW w:type="dxa" w:w="3600"/>
            <w:tcBorders>
              <w:top w:val="single" w:color="CCCCCC" w:sz="1"/>
              <w:left w:val="single" w:color="CCCCCC" w:sz="1"/>
              <w:bottom w:val="single" w:color="CCCCCC" w:sz="1"/>
              <w:right w:val="single" w:color="CCCCCC" w:sz="1"/>
            </w:tcBorders>
            <w:shd w:fill="F0F5F8" w:val="clear"/>
            <w:tcMar>
              <w:top w:type="dxa" w:w="80"/>
              <w:left w:type="dxa" w:w="160"/>
              <w:bottom w:type="dxa" w:w="80"/>
              <w:right w:type="dxa" w:w="120"/>
            </w:tcMar>
          </w:tcPr>
          <w:p>
            <w:r>
              <w:rPr>
                <w:rFonts w:ascii="Arial" w:cs="Arial" w:eastAsia="Arial" w:hAnsi="Arial"/>
                <w:b/>
                <w:bCs/>
                <w:color w:val="1A5C3A"/>
                <w:sz w:val="20"/>
                <w:szCs w:val="20"/>
              </w:rPr>
              <w:t xml:space="preserve">CAS Number</w:t>
            </w:r>
          </w:p>
        </w:tc>
        <w:tc>
          <w:tcPr>
            <w:tcW w:type="dxa" w:w="5760"/>
            <w:tcBorders>
              <w:top w:val="single" w:color="CCCCCC" w:sz="1"/>
              <w:left w:val="single" w:color="CCCCCC" w:sz="1"/>
              <w:bottom w:val="single" w:color="CCCCCC" w:sz="1"/>
              <w:right w:val="single" w:color="CCCCCC" w:sz="1"/>
            </w:tcBorders>
            <w:shd w:fill="F0F5F8" w:val="clear"/>
            <w:tcMar>
              <w:top w:type="dxa" w:w="80"/>
              <w:left w:type="dxa" w:w="160"/>
              <w:bottom w:type="dxa" w:w="80"/>
              <w:right w:type="dxa" w:w="120"/>
            </w:tcMar>
          </w:tcPr>
          <w:p>
            <w:r>
              <w:rPr>
                <w:rFonts w:ascii="Arial" w:cs="Arial" w:eastAsia="Arial" w:hAnsi="Arial"/>
                <w:color w:val="333333"/>
                <w:sz w:val="20"/>
                <w:szCs w:val="20"/>
              </w:rPr>
              <w:t xml:space="preserve">2023788-19-2</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5C3A"/>
                <w:sz w:val="20"/>
                <w:szCs w:val="20"/>
              </w:rPr>
              <w:t xml:space="preserve">PubChem CID</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20"/>
                <w:szCs w:val="20"/>
              </w:rPr>
              <w:t xml:space="preserve">156588324</w:t>
            </w:r>
          </w:p>
        </w:tc>
      </w:tr>
      <w:tr>
        <w:tc>
          <w:tcPr>
            <w:tcW w:type="dxa" w:w="3600"/>
            <w:tcBorders>
              <w:top w:val="single" w:color="CCCCCC" w:sz="1"/>
              <w:left w:val="single" w:color="CCCCCC" w:sz="1"/>
              <w:bottom w:val="single" w:color="CCCCCC" w:sz="1"/>
              <w:right w:val="single" w:color="CCCCCC" w:sz="1"/>
            </w:tcBorders>
            <w:shd w:fill="F0F5F8" w:val="clear"/>
            <w:tcMar>
              <w:top w:type="dxa" w:w="80"/>
              <w:left w:type="dxa" w:w="160"/>
              <w:bottom w:type="dxa" w:w="80"/>
              <w:right w:type="dxa" w:w="120"/>
            </w:tcMar>
          </w:tcPr>
          <w:p>
            <w:r>
              <w:rPr>
                <w:rFonts w:ascii="Arial" w:cs="Arial" w:eastAsia="Arial" w:hAnsi="Arial"/>
                <w:b/>
                <w:bCs/>
                <w:color w:val="1A5C3A"/>
                <w:sz w:val="20"/>
                <w:szCs w:val="20"/>
              </w:rPr>
              <w:t xml:space="preserve">C-Terminal</w:t>
            </w:r>
          </w:p>
        </w:tc>
        <w:tc>
          <w:tcPr>
            <w:tcW w:type="dxa" w:w="5760"/>
            <w:tcBorders>
              <w:top w:val="single" w:color="CCCCCC" w:sz="1"/>
              <w:left w:val="single" w:color="CCCCCC" w:sz="1"/>
              <w:bottom w:val="single" w:color="CCCCCC" w:sz="1"/>
              <w:right w:val="single" w:color="CCCCCC" w:sz="1"/>
            </w:tcBorders>
            <w:shd w:fill="F0F5F8" w:val="clear"/>
            <w:tcMar>
              <w:top w:type="dxa" w:w="80"/>
              <w:left w:type="dxa" w:w="160"/>
              <w:bottom w:type="dxa" w:w="80"/>
              <w:right w:type="dxa" w:w="120"/>
            </w:tcMar>
          </w:tcPr>
          <w:p>
            <w:r>
              <w:rPr>
                <w:rFonts w:ascii="Arial" w:cs="Arial" w:eastAsia="Arial" w:hAnsi="Arial"/>
                <w:color w:val="333333"/>
                <w:sz w:val="20"/>
                <w:szCs w:val="20"/>
              </w:rPr>
              <w:t xml:space="preserve">Amidated (-NH₂)</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5C3A"/>
                <w:sz w:val="20"/>
                <w:szCs w:val="20"/>
              </w:rPr>
              <w:t xml:space="preserve">Lipid Modification</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20"/>
                <w:szCs w:val="20"/>
              </w:rPr>
              <w:t xml:space="preserve">C20 fatty diacid via γ-Glu linker at Lys²⁰</w:t>
            </w:r>
          </w:p>
        </w:tc>
      </w:tr>
      <w:tr>
        <w:tc>
          <w:tcPr>
            <w:tcW w:type="dxa" w:w="3600"/>
            <w:tcBorders>
              <w:top w:val="single" w:color="CCCCCC" w:sz="1"/>
              <w:left w:val="single" w:color="CCCCCC" w:sz="1"/>
              <w:bottom w:val="single" w:color="CCCCCC" w:sz="1"/>
              <w:right w:val="single" w:color="CCCCCC" w:sz="1"/>
            </w:tcBorders>
            <w:shd w:fill="F0F5F8" w:val="clear"/>
            <w:tcMar>
              <w:top w:type="dxa" w:w="80"/>
              <w:left w:type="dxa" w:w="160"/>
              <w:bottom w:type="dxa" w:w="80"/>
              <w:right w:type="dxa" w:w="120"/>
            </w:tcMar>
          </w:tcPr>
          <w:p>
            <w:r>
              <w:rPr>
                <w:rFonts w:ascii="Arial" w:cs="Arial" w:eastAsia="Arial" w:hAnsi="Arial"/>
                <w:b/>
                <w:bCs/>
                <w:color w:val="1A5C3A"/>
                <w:sz w:val="20"/>
                <w:szCs w:val="20"/>
              </w:rPr>
              <w:t xml:space="preserve">Receptor Targets</w:t>
            </w:r>
          </w:p>
        </w:tc>
        <w:tc>
          <w:tcPr>
            <w:tcW w:type="dxa" w:w="5760"/>
            <w:tcBorders>
              <w:top w:val="single" w:color="CCCCCC" w:sz="1"/>
              <w:left w:val="single" w:color="CCCCCC" w:sz="1"/>
              <w:bottom w:val="single" w:color="CCCCCC" w:sz="1"/>
              <w:right w:val="single" w:color="CCCCCC" w:sz="1"/>
            </w:tcBorders>
            <w:shd w:fill="F0F5F8" w:val="clear"/>
            <w:tcMar>
              <w:top w:type="dxa" w:w="80"/>
              <w:left w:type="dxa" w:w="160"/>
              <w:bottom w:type="dxa" w:w="80"/>
              <w:right w:type="dxa" w:w="120"/>
            </w:tcMar>
          </w:tcPr>
          <w:p>
            <w:r>
              <w:rPr>
                <w:rFonts w:ascii="Arial" w:cs="Arial" w:eastAsia="Arial" w:hAnsi="Arial"/>
                <w:color w:val="333333"/>
                <w:sz w:val="20"/>
                <w:szCs w:val="20"/>
              </w:rPr>
              <w:t xml:space="preserve">GLP-1R and GIPR (Class II GPCRs)</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5C3A"/>
                <w:sz w:val="20"/>
                <w:szCs w:val="20"/>
              </w:rPr>
              <w:t xml:space="preserve">Plasma Half-Life</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20"/>
                <w:szCs w:val="20"/>
              </w:rPr>
              <w:t xml:space="preserve">≈5 days (albumin-binding mediated)</w:t>
            </w:r>
          </w:p>
        </w:tc>
      </w:tr>
      <w:tr>
        <w:tc>
          <w:tcPr>
            <w:tcW w:type="dxa" w:w="3600"/>
            <w:tcBorders>
              <w:top w:val="single" w:color="CCCCCC" w:sz="1"/>
              <w:left w:val="single" w:color="CCCCCC" w:sz="1"/>
              <w:bottom w:val="single" w:color="CCCCCC" w:sz="1"/>
              <w:right w:val="single" w:color="CCCCCC" w:sz="1"/>
            </w:tcBorders>
            <w:shd w:fill="F0F5F8" w:val="clear"/>
            <w:tcMar>
              <w:top w:type="dxa" w:w="80"/>
              <w:left w:type="dxa" w:w="160"/>
              <w:bottom w:type="dxa" w:w="80"/>
              <w:right w:type="dxa" w:w="120"/>
            </w:tcMar>
          </w:tcPr>
          <w:p>
            <w:r>
              <w:rPr>
                <w:rFonts w:ascii="Arial" w:cs="Arial" w:eastAsia="Arial" w:hAnsi="Arial"/>
                <w:b/>
                <w:bCs/>
                <w:color w:val="1A5C3A"/>
                <w:sz w:val="20"/>
                <w:szCs w:val="20"/>
              </w:rPr>
              <w:t xml:space="preserve">Appearance</w:t>
            </w:r>
          </w:p>
        </w:tc>
        <w:tc>
          <w:tcPr>
            <w:tcW w:type="dxa" w:w="5760"/>
            <w:tcBorders>
              <w:top w:val="single" w:color="CCCCCC" w:sz="1"/>
              <w:left w:val="single" w:color="CCCCCC" w:sz="1"/>
              <w:bottom w:val="single" w:color="CCCCCC" w:sz="1"/>
              <w:right w:val="single" w:color="CCCCCC" w:sz="1"/>
            </w:tcBorders>
            <w:shd w:fill="F0F5F8" w:val="clear"/>
            <w:tcMar>
              <w:top w:type="dxa" w:w="80"/>
              <w:left w:type="dxa" w:w="160"/>
              <w:bottom w:type="dxa" w:w="80"/>
              <w:right w:type="dxa" w:w="120"/>
            </w:tcMar>
          </w:tcPr>
          <w:p>
            <w:r>
              <w:rPr>
                <w:rFonts w:ascii="Arial" w:cs="Arial" w:eastAsia="Arial" w:hAnsi="Arial"/>
                <w:color w:val="333333"/>
                <w:sz w:val="20"/>
                <w:szCs w:val="20"/>
              </w:rPr>
              <w:t xml:space="preserve">White to off-white lyophilized powder</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5C3A"/>
                <w:sz w:val="20"/>
                <w:szCs w:val="20"/>
              </w:rPr>
              <w:t xml:space="preserve">Purity</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20"/>
                <w:szCs w:val="20"/>
              </w:rPr>
              <w:t xml:space="preserve">≥99% by RP-HPLC</w:t>
            </w:r>
          </w:p>
        </w:tc>
      </w:tr>
      <w:tr>
        <w:tc>
          <w:tcPr>
            <w:tcW w:type="dxa" w:w="3600"/>
            <w:tcBorders>
              <w:top w:val="single" w:color="CCCCCC" w:sz="1"/>
              <w:left w:val="single" w:color="CCCCCC" w:sz="1"/>
              <w:bottom w:val="single" w:color="CCCCCC" w:sz="1"/>
              <w:right w:val="single" w:color="CCCCCC" w:sz="1"/>
            </w:tcBorders>
            <w:shd w:fill="F0F5F8" w:val="clear"/>
            <w:tcMar>
              <w:top w:type="dxa" w:w="80"/>
              <w:left w:type="dxa" w:w="160"/>
              <w:bottom w:type="dxa" w:w="80"/>
              <w:right w:type="dxa" w:w="120"/>
            </w:tcMar>
          </w:tcPr>
          <w:p>
            <w:r>
              <w:rPr>
                <w:rFonts w:ascii="Arial" w:cs="Arial" w:eastAsia="Arial" w:hAnsi="Arial"/>
                <w:b/>
                <w:bCs/>
                <w:color w:val="1A5C3A"/>
                <w:sz w:val="20"/>
                <w:szCs w:val="20"/>
              </w:rPr>
              <w:t xml:space="preserve">Solubility</w:t>
            </w:r>
          </w:p>
        </w:tc>
        <w:tc>
          <w:tcPr>
            <w:tcW w:type="dxa" w:w="5760"/>
            <w:tcBorders>
              <w:top w:val="single" w:color="CCCCCC" w:sz="1"/>
              <w:left w:val="single" w:color="CCCCCC" w:sz="1"/>
              <w:bottom w:val="single" w:color="CCCCCC" w:sz="1"/>
              <w:right w:val="single" w:color="CCCCCC" w:sz="1"/>
            </w:tcBorders>
            <w:shd w:fill="F0F5F8" w:val="clear"/>
            <w:tcMar>
              <w:top w:type="dxa" w:w="80"/>
              <w:left w:type="dxa" w:w="160"/>
              <w:bottom w:type="dxa" w:w="80"/>
              <w:right w:type="dxa" w:w="120"/>
            </w:tcMar>
          </w:tcPr>
          <w:p>
            <w:r>
              <w:rPr>
                <w:rFonts w:ascii="Arial" w:cs="Arial" w:eastAsia="Arial" w:hAnsi="Arial"/>
                <w:color w:val="333333"/>
                <w:sz w:val="20"/>
                <w:szCs w:val="20"/>
              </w:rPr>
              <w:t xml:space="preserve">Bacteriostatic water, sterile saline, PBS</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5C3A"/>
                <w:sz w:val="20"/>
                <w:szCs w:val="20"/>
              </w:rPr>
              <w:t xml:space="preserve">Vial Size</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20"/>
                <w:szCs w:val="20"/>
              </w:rPr>
              <w:t xml:space="preserve">20mg</w:t>
            </w:r>
          </w:p>
        </w:tc>
      </w:tr>
      <w:tr>
        <w:tc>
          <w:tcPr>
            <w:tcW w:type="dxa" w:w="3600"/>
            <w:tcBorders>
              <w:top w:val="single" w:color="CCCCCC" w:sz="1"/>
              <w:left w:val="single" w:color="CCCCCC" w:sz="1"/>
              <w:bottom w:val="single" w:color="CCCCCC" w:sz="1"/>
              <w:right w:val="single" w:color="CCCCCC" w:sz="1"/>
            </w:tcBorders>
            <w:shd w:fill="F0F5F8" w:val="clear"/>
            <w:tcMar>
              <w:top w:type="dxa" w:w="80"/>
              <w:left w:type="dxa" w:w="160"/>
              <w:bottom w:type="dxa" w:w="80"/>
              <w:right w:type="dxa" w:w="120"/>
            </w:tcMar>
          </w:tcPr>
          <w:p>
            <w:r>
              <w:rPr>
                <w:rFonts w:ascii="Arial" w:cs="Arial" w:eastAsia="Arial" w:hAnsi="Arial"/>
                <w:b/>
                <w:bCs/>
                <w:color w:val="1A5C3A"/>
                <w:sz w:val="20"/>
                <w:szCs w:val="20"/>
              </w:rPr>
              <w:t xml:space="preserve">Shelf Life</w:t>
            </w:r>
          </w:p>
        </w:tc>
        <w:tc>
          <w:tcPr>
            <w:tcW w:type="dxa" w:w="5760"/>
            <w:tcBorders>
              <w:top w:val="single" w:color="CCCCCC" w:sz="1"/>
              <w:left w:val="single" w:color="CCCCCC" w:sz="1"/>
              <w:bottom w:val="single" w:color="CCCCCC" w:sz="1"/>
              <w:right w:val="single" w:color="CCCCCC" w:sz="1"/>
            </w:tcBorders>
            <w:shd w:fill="F0F5F8" w:val="clear"/>
            <w:tcMar>
              <w:top w:type="dxa" w:w="80"/>
              <w:left w:type="dxa" w:w="160"/>
              <w:bottom w:type="dxa" w:w="80"/>
              <w:right w:type="dxa" w:w="120"/>
            </w:tcMar>
          </w:tcPr>
          <w:p>
            <w:r>
              <w:rPr>
                <w:rFonts w:ascii="Arial" w:cs="Arial" w:eastAsia="Arial" w:hAnsi="Arial"/>
                <w:color w:val="333333"/>
                <w:sz w:val="20"/>
                <w:szCs w:val="20"/>
              </w:rPr>
              <w:t xml:space="preserve">24 months from manufacture date</w:t>
            </w:r>
          </w:p>
        </w:tc>
      </w:tr>
    </w:tbl>
    <w:p>
      <w:pPr>
        <w:spacing w:after="80" w:before="80"/>
      </w:pPr>
    </w:p>
    <w:p>
      <w:pPr>
        <w:pStyle w:val="Heading1"/>
        <w:spacing w:after="120" w:before="360"/>
      </w:pPr>
      <w:r>
        <w:rPr>
          <w:rFonts w:ascii="Arial" w:cs="Arial" w:eastAsia="Arial" w:hAnsi="Arial"/>
          <w:b/>
          <w:bCs/>
          <w:color w:val="1A5C3A"/>
          <w:sz w:val="32"/>
          <w:szCs w:val="32"/>
        </w:rPr>
        <w:t xml:space="preserve">Mechanism of Action</w:t>
      </w:r>
    </w:p>
    <w:p>
      <w:pPr>
        <w:spacing w:after="120" w:before="60" w:line="276"/>
      </w:pPr>
      <w:r>
        <w:rPr>
          <w:rFonts w:ascii="Arial" w:cs="Arial" w:eastAsia="Arial" w:hAnsi="Arial"/>
          <w:color w:val="333333"/>
          <w:sz w:val="22"/>
          <w:szCs w:val="22"/>
        </w:rPr>
        <w:t xml:space="preserve">To understand how tirzepatide works, it helps to first understand the two receptor systems it engages.</w:t>
      </w:r>
    </w:p>
    <w:p>
      <w:pPr>
        <w:pStyle w:val="Heading3"/>
        <w:spacing w:after="80" w:before="200"/>
      </w:pPr>
      <w:r>
        <w:rPr>
          <w:rFonts w:ascii="Arial" w:cs="Arial" w:eastAsia="Arial" w:hAnsi="Arial"/>
          <w:b/>
          <w:bCs/>
          <w:color w:val="333333"/>
          <w:sz w:val="22"/>
          <w:szCs w:val="22"/>
        </w:rPr>
        <w:t xml:space="preserve">The GLP-1 Receptor Pathway</w:t>
      </w:r>
    </w:p>
    <w:p>
      <w:pPr>
        <w:spacing w:after="120" w:before="60" w:line="276"/>
      </w:pPr>
      <w:r>
        <w:rPr>
          <w:rFonts w:ascii="Arial" w:cs="Arial" w:eastAsia="Arial" w:hAnsi="Arial"/>
          <w:color w:val="333333"/>
          <w:sz w:val="22"/>
          <w:szCs w:val="22"/>
        </w:rPr>
        <w:t xml:space="preserve">GLP-1 (glucagon-like peptide-1) is a hormone secreted by intestinal L-cells in response to food intake. It travels to the pancreas, where it prompts insulin secretion in a glucose-dependent way — meaning it only triggers insulin release when blood glucose is actually elevated. This built-in safety mechanism is one reason GLP-1 receptor agonists are studied in glucose regulation research. GLP-1 also acts on the brain, where it appears to suppress appetite, slow the rate at which the stomach empties, and reduce food-seeking behavior. In research models, GLP-1 receptor activation is consistently linked with reduced body weight and improved glucose control.</w:t>
      </w:r>
    </w:p>
    <w:p>
      <w:pPr>
        <w:pStyle w:val="Heading3"/>
        <w:spacing w:after="80" w:before="200"/>
      </w:pPr>
      <w:r>
        <w:rPr>
          <w:rFonts w:ascii="Arial" w:cs="Arial" w:eastAsia="Arial" w:hAnsi="Arial"/>
          <w:b/>
          <w:bCs/>
          <w:color w:val="333333"/>
          <w:sz w:val="22"/>
          <w:szCs w:val="22"/>
        </w:rPr>
        <w:t xml:space="preserve">The GIP Receptor Pathway</w:t>
      </w:r>
    </w:p>
    <w:p>
      <w:pPr>
        <w:spacing w:after="120" w:before="60" w:line="276"/>
      </w:pPr>
      <w:r>
        <w:rPr>
          <w:rFonts w:ascii="Arial" w:cs="Arial" w:eastAsia="Arial" w:hAnsi="Arial"/>
          <w:color w:val="333333"/>
          <w:sz w:val="22"/>
          <w:szCs w:val="22"/>
        </w:rPr>
        <w:t xml:space="preserve">GIP (glucose-dependent insulinotropic polypeptide) is released from intestinal K-cells and was historically studied primarily for its role in post-meal insulin release. More recent research has expanded this picture considerably. GIPR is expressed in the brain, fat tissue, bone, and heart — not just the pancreas. When activated, GIPR enhances beta-cell function, supports fat cell lipid handling, and appears to complement GLP-1 signaling in ways that produce stronger combined metabolic effects than either pathway alone.</w:t>
      </w:r>
    </w:p>
    <w:p>
      <w:pPr>
        <w:pStyle w:val="Heading3"/>
        <w:spacing w:after="80" w:before="200"/>
      </w:pPr>
      <w:r>
        <w:rPr>
          <w:rFonts w:ascii="Arial" w:cs="Arial" w:eastAsia="Arial" w:hAnsi="Arial"/>
          <w:b/>
          <w:bCs/>
          <w:color w:val="333333"/>
          <w:sz w:val="22"/>
          <w:szCs w:val="22"/>
        </w:rPr>
        <w:t xml:space="preserve">Why Dual Agonism Matters</w:t>
      </w:r>
    </w:p>
    <w:p>
      <w:pPr>
        <w:spacing w:after="120" w:before="60" w:line="276"/>
      </w:pPr>
      <w:r>
        <w:rPr>
          <w:rFonts w:ascii="Arial" w:cs="Arial" w:eastAsia="Arial" w:hAnsi="Arial"/>
          <w:color w:val="333333"/>
          <w:sz w:val="22"/>
          <w:szCs w:val="22"/>
        </w:rPr>
        <w:t xml:space="preserve">The scientific rationale for combining both pathways in a single molecule is that GLP-1 and GIP signaling appear to reinforce each other. When tirzepatide activates both receptors simultaneously, it produces larger reductions in blood glucose and body weight in preclinical models than GLP-1-only agonists at equivalent doses. Both receptors are Class II G-protein-coupled receptors (GPCRs) that signal through the Gs pathway, increasing intracellular cyclic AMP (cAMP) as a second messenger — which then activates downstream cascades affecting insulin secretion, lipid metabolism, and neuronal activity.</w:t>
      </w:r>
    </w:p>
    <w:p>
      <w:pPr>
        <w:pStyle w:val="Heading3"/>
        <w:spacing w:after="80" w:before="200"/>
      </w:pPr>
      <w:r>
        <w:rPr>
          <w:rFonts w:ascii="Arial" w:cs="Arial" w:eastAsia="Arial" w:hAnsi="Arial"/>
          <w:b/>
          <w:bCs/>
          <w:color w:val="333333"/>
          <w:sz w:val="22"/>
          <w:szCs w:val="22"/>
        </w:rPr>
        <w:t xml:space="preserve">The Role of the Lipid Chain</w:t>
      </w:r>
    </w:p>
    <w:p>
      <w:pPr>
        <w:spacing w:after="120" w:before="60" w:line="276"/>
      </w:pPr>
      <w:r>
        <w:rPr>
          <w:rFonts w:ascii="Arial" w:cs="Arial" w:eastAsia="Arial" w:hAnsi="Arial"/>
          <w:color w:val="333333"/>
          <w:sz w:val="22"/>
          <w:szCs w:val="22"/>
        </w:rPr>
        <w:t xml:space="preserve">The C20 fatty diacid modification is what gives tirzepatide its unusually long half-life for a peptide of this size. Free peptides in plasma are typically degraded within minutes to hours by circulating proteases. By attaching a fatty acid chain, the peptide binds reversibly to albumin — the most abundant protein in plasma — which acts as a carrier and shields the peptide from rapid enzymatic breakdown. The result is a circulating half-life of roughly five days, supporting sustained receptor engagement in weekly-dosing experimental models.</w:t>
      </w:r>
    </w:p>
    <w:p>
      <w:pPr>
        <w:pStyle w:val="Heading1"/>
        <w:spacing w:after="120" w:before="360"/>
      </w:pPr>
      <w:r>
        <w:rPr>
          <w:rFonts w:ascii="Arial" w:cs="Arial" w:eastAsia="Arial" w:hAnsi="Arial"/>
          <w:b/>
          <w:bCs/>
          <w:color w:val="1A5C3A"/>
          <w:sz w:val="32"/>
          <w:szCs w:val="32"/>
        </w:rPr>
        <w:t xml:space="preserve">Research Applications</w:t>
      </w:r>
    </w:p>
    <w:p>
      <w:pPr>
        <w:pStyle w:val="Heading2"/>
        <w:spacing w:after="100" w:before="280"/>
      </w:pPr>
      <w:r>
        <w:rPr>
          <w:rFonts w:ascii="Arial" w:cs="Arial" w:eastAsia="Arial" w:hAnsi="Arial"/>
          <w:b/>
          <w:bCs/>
          <w:color w:val="0F3D6E"/>
          <w:sz w:val="26"/>
          <w:szCs w:val="26"/>
        </w:rPr>
        <w:t xml:space="preserve">Glucose Regulation and Insulin Research</w:t>
      </w:r>
    </w:p>
    <w:p>
      <w:pPr>
        <w:spacing w:after="120" w:before="60" w:line="276"/>
      </w:pPr>
      <w:r>
        <w:rPr>
          <w:rFonts w:ascii="Arial" w:cs="Arial" w:eastAsia="Arial" w:hAnsi="Arial"/>
          <w:color w:val="333333"/>
          <w:sz w:val="22"/>
          <w:szCs w:val="22"/>
        </w:rPr>
        <w:t xml:space="preserve">In cell-based and preclinical animal models, tirzepatide consistently increases glucose-dependent insulin secretion from pancreatic beta cells while suppressing glucagon release during periods of high blood glucose. Rodent studies using subcutaneous dosing in the range of 0.1 to 10 nmol/kg have shown reductions in fasting glucose and HbA1c-equivalent markers that exceed what is typically seen with GLP-1-only compounds at comparable concentrations. This makes tirzepatide a useful research tool for studying the combined incretin contribution to pancreatic function and glucose homeostasis.</w:t>
      </w:r>
    </w:p>
    <w:p>
      <w:pPr>
        <w:pStyle w:val="Heading2"/>
        <w:spacing w:after="100" w:before="280"/>
      </w:pPr>
      <w:r>
        <w:rPr>
          <w:rFonts w:ascii="Arial" w:cs="Arial" w:eastAsia="Arial" w:hAnsi="Arial"/>
          <w:b/>
          <w:bCs/>
          <w:color w:val="0F3D6E"/>
          <w:sz w:val="26"/>
          <w:szCs w:val="26"/>
        </w:rPr>
        <w:t xml:space="preserve">Body Weight, Appetite, and Energy Balance</w:t>
      </w:r>
    </w:p>
    <w:p>
      <w:pPr>
        <w:spacing w:after="120" w:before="60" w:line="276"/>
      </w:pPr>
      <w:r>
        <w:rPr>
          <w:rFonts w:ascii="Arial" w:cs="Arial" w:eastAsia="Arial" w:hAnsi="Arial"/>
          <w:color w:val="333333"/>
          <w:sz w:val="22"/>
          <w:szCs w:val="22"/>
        </w:rPr>
        <w:t xml:space="preserve">Weight-related research in obese rodent models has documented dose-dependent fat mass reductions of 20 to 30 percent compared to untreated controls over 12-week study periods at higher doses. The appetite suppression appears to operate through GLP-1 receptor activity in the hypothalamus and brainstem, reducing meal frequency and portion size. Importantly, preclinical studies have linked tirzepatide treatment with preferential reduction in fat mass rather than lean muscle — a pattern associated with increased energy expenditure and elevated lipid oxidation rates in treated animals.</w:t>
      </w:r>
    </w:p>
    <w:p>
      <w:pPr>
        <w:pStyle w:val="Heading2"/>
        <w:spacing w:after="100" w:before="280"/>
      </w:pPr>
      <w:r>
        <w:rPr>
          <w:rFonts w:ascii="Arial" w:cs="Arial" w:eastAsia="Arial" w:hAnsi="Arial"/>
          <w:b/>
          <w:bCs/>
          <w:color w:val="0F3D6E"/>
          <w:sz w:val="26"/>
          <w:szCs w:val="26"/>
        </w:rPr>
        <w:t xml:space="preserve">Lipid Metabolism and Cardiovascular Parameters</w:t>
      </w:r>
    </w:p>
    <w:p>
      <w:pPr>
        <w:spacing w:after="120" w:before="60" w:line="276"/>
      </w:pPr>
      <w:r>
        <w:rPr>
          <w:rFonts w:ascii="Arial" w:cs="Arial" w:eastAsia="Arial" w:hAnsi="Arial"/>
          <w:color w:val="333333"/>
          <w:sz w:val="22"/>
          <w:szCs w:val="22"/>
        </w:rPr>
        <w:t xml:space="preserve">In high-fat diet rodent models, tirzepatide treatment reduces circulating triglycerides, LDL cholesterol, and free fatty acids while improving the HDL profile. It reduces hepatic fat accumulation (steatosis) and improves insulin sensitivity in both liver and adipose tissue. Preclinical cardiovascular studies have noted improvements in blood pressure, endothelial function markers, and atherosclerosis-related endpoints — though these findings are in animal models and do not constitute evidence of cardiovascular benefit in humans.</w:t>
      </w:r>
    </w:p>
    <w:p>
      <w:pPr>
        <w:pStyle w:val="Heading2"/>
        <w:spacing w:after="100" w:before="280"/>
      </w:pPr>
      <w:r>
        <w:rPr>
          <w:rFonts w:ascii="Arial" w:cs="Arial" w:eastAsia="Arial" w:hAnsi="Arial"/>
          <w:b/>
          <w:bCs/>
          <w:color w:val="0F3D6E"/>
          <w:sz w:val="26"/>
          <w:szCs w:val="26"/>
        </w:rPr>
        <w:t xml:space="preserve">Neuroprotection and Neuroinflammation Research</w:t>
      </w:r>
    </w:p>
    <w:p>
      <w:pPr>
        <w:spacing w:after="120" w:before="60" w:line="276"/>
      </w:pPr>
      <w:r>
        <w:rPr>
          <w:rFonts w:ascii="Arial" w:cs="Arial" w:eastAsia="Arial" w:hAnsi="Arial"/>
          <w:color w:val="333333"/>
          <w:sz w:val="22"/>
          <w:szCs w:val="22"/>
        </w:rPr>
        <w:t xml:space="preserve">More recent research has explored tirzepatide outside of purely metabolic contexts. In neuronal cell cultures and animal models of neurodegeneration, GLP-1 and GIP receptor activation has been linked with anti-apoptotic signaling, reduced microglial activation, and lower levels of proinflammatory cytokines in brain tissue. Researchers are actively investigating tirzepatide in models of Alzheimer's disease, Parkinson's disease, and ischemic stroke, where incretin receptor signaling appears to provide neurotrophic and neuroprotective effects.</w:t>
      </w:r>
    </w:p>
    <w:p>
      <w:pPr>
        <w:pStyle w:val="Heading1"/>
        <w:spacing w:after="120" w:before="360"/>
      </w:pPr>
      <w:r>
        <w:rPr>
          <w:rFonts w:ascii="Arial" w:cs="Arial" w:eastAsia="Arial" w:hAnsi="Arial"/>
          <w:b/>
          <w:bCs/>
          <w:color w:val="1A5C3A"/>
          <w:sz w:val="32"/>
          <w:szCs w:val="32"/>
        </w:rPr>
        <w:t xml:space="preserve">Storage and Reconstitution</w:t>
      </w:r>
    </w:p>
    <w:p>
      <w:pPr>
        <w:pStyle w:val="Heading2"/>
        <w:spacing w:after="100" w:before="280"/>
      </w:pPr>
      <w:r>
        <w:rPr>
          <w:rFonts w:ascii="Arial" w:cs="Arial" w:eastAsia="Arial" w:hAnsi="Arial"/>
          <w:b/>
          <w:bCs/>
          <w:color w:val="0F3D6E"/>
          <w:sz w:val="26"/>
          <w:szCs w:val="26"/>
        </w:rPr>
        <w:t xml:space="preserve">Lyophilized Powder Storage</w:t>
      </w:r>
    </w:p>
    <w:p>
      <w:pPr>
        <w:pStyle w:val="ListParagraph"/>
        <w:numPr>
          <w:ilvl w:val="0"/>
          <w:numId w:val="2"/>
        </w:numPr>
        <w:spacing w:after="40" w:before="40"/>
      </w:pPr>
      <w:r>
        <w:rPr>
          <w:rFonts w:ascii="Arial" w:cs="Arial" w:eastAsia="Arial" w:hAnsi="Arial"/>
          <w:color w:val="333333"/>
          <w:sz w:val="22"/>
          <w:szCs w:val="22"/>
        </w:rPr>
        <w:t xml:space="preserve">Store at 2–8°C for routine use; store at -20°C or below for long-term stability</w:t>
      </w:r>
    </w:p>
    <w:p>
      <w:pPr>
        <w:pStyle w:val="ListParagraph"/>
        <w:numPr>
          <w:ilvl w:val="0"/>
          <w:numId w:val="2"/>
        </w:numPr>
        <w:spacing w:after="40" w:before="40"/>
      </w:pPr>
      <w:r>
        <w:rPr>
          <w:rFonts w:ascii="Arial" w:cs="Arial" w:eastAsia="Arial" w:hAnsi="Arial"/>
          <w:color w:val="333333"/>
          <w:sz w:val="22"/>
          <w:szCs w:val="22"/>
        </w:rPr>
        <w:t xml:space="preserve">Protect from light and moisture at all times — amber or foil-wrapped storage recommended</w:t>
      </w:r>
    </w:p>
    <w:p>
      <w:pPr>
        <w:pStyle w:val="ListParagraph"/>
        <w:numPr>
          <w:ilvl w:val="0"/>
          <w:numId w:val="2"/>
        </w:numPr>
        <w:spacing w:after="40" w:before="40"/>
      </w:pPr>
      <w:r>
        <w:rPr>
          <w:rFonts w:ascii="Arial" w:cs="Arial" w:eastAsia="Arial" w:hAnsi="Arial"/>
          <w:color w:val="333333"/>
          <w:sz w:val="22"/>
          <w:szCs w:val="22"/>
        </w:rPr>
        <w:t xml:space="preserve">Stable for 24 months from manufacture date when stored correctly</w:t>
      </w:r>
    </w:p>
    <w:p>
      <w:pPr>
        <w:pStyle w:val="ListParagraph"/>
        <w:numPr>
          <w:ilvl w:val="0"/>
          <w:numId w:val="2"/>
        </w:numPr>
        <w:spacing w:after="40" w:before="40"/>
      </w:pPr>
      <w:r>
        <w:rPr>
          <w:rFonts w:ascii="Arial" w:cs="Arial" w:eastAsia="Arial" w:hAnsi="Arial"/>
          <w:color w:val="333333"/>
          <w:sz w:val="22"/>
          <w:szCs w:val="22"/>
        </w:rPr>
        <w:t xml:space="preserve">Do not freeze vials that have already been reconstituted</w:t>
      </w:r>
    </w:p>
    <w:p>
      <w:pPr>
        <w:pStyle w:val="ListParagraph"/>
        <w:numPr>
          <w:ilvl w:val="0"/>
          <w:numId w:val="2"/>
        </w:numPr>
        <w:spacing w:after="40" w:before="40"/>
      </w:pPr>
      <w:r>
        <w:rPr>
          <w:rFonts w:ascii="Arial" w:cs="Arial" w:eastAsia="Arial" w:hAnsi="Arial"/>
          <w:color w:val="333333"/>
          <w:sz w:val="22"/>
          <w:szCs w:val="22"/>
        </w:rPr>
        <w:t xml:space="preserve">Avoid repeated temperature cycling of sealed lyophilized vials</w:t>
      </w:r>
    </w:p>
    <w:p>
      <w:pPr>
        <w:pStyle w:val="Heading2"/>
        <w:spacing w:after="100" w:before="280"/>
      </w:pPr>
      <w:r>
        <w:rPr>
          <w:rFonts w:ascii="Arial" w:cs="Arial" w:eastAsia="Arial" w:hAnsi="Arial"/>
          <w:b/>
          <w:bCs/>
          <w:color w:val="0F3D6E"/>
          <w:sz w:val="26"/>
          <w:szCs w:val="26"/>
        </w:rPr>
        <w:t xml:space="preserve">Reconstitution Guidelines</w:t>
      </w:r>
    </w:p>
    <w:p>
      <w:pPr>
        <w:pStyle w:val="ListParagraph"/>
        <w:numPr>
          <w:ilvl w:val="0"/>
          <w:numId w:val="2"/>
        </w:numPr>
        <w:spacing w:after="40" w:before="40"/>
      </w:pPr>
      <w:r>
        <w:rPr>
          <w:rFonts w:ascii="Arial" w:cs="Arial" w:eastAsia="Arial" w:hAnsi="Arial"/>
          <w:color w:val="333333"/>
          <w:sz w:val="22"/>
          <w:szCs w:val="22"/>
        </w:rPr>
        <w:t xml:space="preserve">Use bacteriostatic water or sterile saline as the diluent</w:t>
      </w:r>
    </w:p>
    <w:p>
      <w:pPr>
        <w:pStyle w:val="ListParagraph"/>
        <w:numPr>
          <w:ilvl w:val="0"/>
          <w:numId w:val="2"/>
        </w:numPr>
        <w:spacing w:after="40" w:before="40"/>
      </w:pPr>
      <w:r>
        <w:rPr>
          <w:rFonts w:ascii="Arial" w:cs="Arial" w:eastAsia="Arial" w:hAnsi="Arial"/>
          <w:color w:val="333333"/>
          <w:sz w:val="22"/>
          <w:szCs w:val="22"/>
        </w:rPr>
        <w:t xml:space="preserve">Add solvent slowly down the inner wall of the vial — do not inject directly onto the powder</w:t>
      </w:r>
    </w:p>
    <w:p>
      <w:pPr>
        <w:pStyle w:val="ListParagraph"/>
        <w:numPr>
          <w:ilvl w:val="0"/>
          <w:numId w:val="2"/>
        </w:numPr>
        <w:spacing w:after="40" w:before="40"/>
      </w:pPr>
      <w:r>
        <w:rPr>
          <w:rFonts w:ascii="Arial" w:cs="Arial" w:eastAsia="Arial" w:hAnsi="Arial"/>
          <w:color w:val="333333"/>
          <w:sz w:val="22"/>
          <w:szCs w:val="22"/>
        </w:rPr>
        <w:t xml:space="preserve">Swirl gently until fully dissolved; do not shake or vortex</w:t>
      </w:r>
    </w:p>
    <w:p>
      <w:pPr>
        <w:pStyle w:val="ListParagraph"/>
        <w:numPr>
          <w:ilvl w:val="0"/>
          <w:numId w:val="2"/>
        </w:numPr>
        <w:spacing w:after="40" w:before="40"/>
      </w:pPr>
      <w:r>
        <w:rPr>
          <w:rFonts w:ascii="Arial" w:cs="Arial" w:eastAsia="Arial" w:hAnsi="Arial"/>
          <w:color w:val="333333"/>
          <w:sz w:val="22"/>
          <w:szCs w:val="22"/>
        </w:rPr>
        <w:t xml:space="preserve">Reconstituted solution should be used within 4 to 6 weeks when stored at 2–8°C</w:t>
      </w:r>
    </w:p>
    <w:p>
      <w:pPr>
        <w:pStyle w:val="ListParagraph"/>
        <w:numPr>
          <w:ilvl w:val="0"/>
          <w:numId w:val="2"/>
        </w:numPr>
        <w:spacing w:after="40" w:before="40"/>
      </w:pPr>
      <w:r>
        <w:rPr>
          <w:rFonts w:ascii="Arial" w:cs="Arial" w:eastAsia="Arial" w:hAnsi="Arial"/>
          <w:color w:val="333333"/>
          <w:sz w:val="22"/>
          <w:szCs w:val="22"/>
        </w:rPr>
        <w:t xml:space="preserve">Prepare single-use aliquots wherever possible to avoid repeated freeze-thaw cycles</w:t>
      </w:r>
    </w:p>
    <w:p>
      <w:pPr>
        <w:pStyle w:val="ListParagraph"/>
        <w:numPr>
          <w:ilvl w:val="0"/>
          <w:numId w:val="2"/>
        </w:numPr>
        <w:spacing w:after="40" w:before="40"/>
      </w:pPr>
      <w:r>
        <w:rPr>
          <w:rFonts w:ascii="Arial" w:cs="Arial" w:eastAsia="Arial" w:hAnsi="Arial"/>
          <w:color w:val="333333"/>
          <w:sz w:val="22"/>
          <w:szCs w:val="22"/>
        </w:rPr>
        <w:t xml:space="preserve">Use sterile technique throughout: gloves, appropriate PPE, and a clean working environment</w:t>
      </w:r>
    </w:p>
    <w:p>
      <w:pPr>
        <w:pStyle w:val="Heading1"/>
        <w:spacing w:after="120" w:before="360"/>
      </w:pPr>
      <w:r>
        <w:rPr>
          <w:rFonts w:ascii="Arial" w:cs="Arial" w:eastAsia="Arial" w:hAnsi="Arial"/>
          <w:b/>
          <w:bCs/>
          <w:color w:val="1A5C3A"/>
          <w:sz w:val="32"/>
          <w:szCs w:val="32"/>
        </w:rPr>
        <w:t xml:space="preserve">Quality Assurance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5E8F0" w:sz="1"/>
              <w:left w:val="single" w:color="D5E8F0" w:sz="1"/>
              <w:bottom w:val="single" w:color="D5E8F0" w:sz="1"/>
              <w:right w:val="single" w:color="D5E8F0" w:sz="1"/>
            </w:tcBorders>
            <w:shd w:fill="1A5C3A" w:val="clear"/>
            <w:tcMar>
              <w:top w:type="dxa" w:w="100"/>
              <w:left w:type="dxa" w:w="160"/>
              <w:bottom w:type="dxa" w:w="100"/>
              <w:right w:type="dxa" w:w="120"/>
            </w:tcMar>
          </w:tcPr>
          <w:p>
            <w:r>
              <w:rPr>
                <w:rFonts w:ascii="Arial" w:cs="Arial" w:eastAsia="Arial" w:hAnsi="Arial"/>
                <w:b/>
                <w:bCs/>
                <w:color w:val="FFFFFF"/>
                <w:sz w:val="20"/>
                <w:szCs w:val="20"/>
              </w:rPr>
              <w:t xml:space="preserve">Test</w:t>
            </w:r>
          </w:p>
        </w:tc>
        <w:tc>
          <w:tcPr>
            <w:tcW w:type="dxa" w:w="5760"/>
            <w:tcBorders>
              <w:top w:val="single" w:color="D5E8F0" w:sz="1"/>
              <w:left w:val="single" w:color="D5E8F0" w:sz="1"/>
              <w:bottom w:val="single" w:color="D5E8F0" w:sz="1"/>
              <w:right w:val="single" w:color="D5E8F0" w:sz="1"/>
            </w:tcBorders>
            <w:shd w:fill="1A5C3A" w:val="clear"/>
            <w:tcMar>
              <w:top w:type="dxa" w:w="100"/>
              <w:left w:type="dxa" w:w="160"/>
              <w:bottom w:type="dxa" w:w="100"/>
              <w:right w:type="dxa" w:w="120"/>
            </w:tcMar>
          </w:tcPr>
          <w:p>
            <w:r>
              <w:rPr>
                <w:rFonts w:ascii="Arial" w:cs="Arial" w:eastAsia="Arial" w:hAnsi="Arial"/>
                <w:b/>
                <w:bCs/>
                <w:color w:val="FFFFFF"/>
                <w:sz w:val="20"/>
                <w:szCs w:val="20"/>
              </w:rPr>
              <w:t xml:space="preserve">Method / Result</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5C3A"/>
                <w:sz w:val="20"/>
                <w:szCs w:val="20"/>
              </w:rPr>
              <w:t xml:space="preserve">Purity</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20"/>
                <w:szCs w:val="20"/>
              </w:rPr>
              <w:t xml:space="preserve">≥99% — Reversed-phase HPLC with UV detection</w:t>
            </w:r>
          </w:p>
        </w:tc>
      </w:tr>
      <w:tr>
        <w:tc>
          <w:tcPr>
            <w:tcW w:type="dxa" w:w="3600"/>
            <w:tcBorders>
              <w:top w:val="single" w:color="CCCCCC" w:sz="1"/>
              <w:left w:val="single" w:color="CCCCCC" w:sz="1"/>
              <w:bottom w:val="single" w:color="CCCCCC" w:sz="1"/>
              <w:right w:val="single" w:color="CCCCCC" w:sz="1"/>
            </w:tcBorders>
            <w:shd w:fill="F0F5F8" w:val="clear"/>
            <w:tcMar>
              <w:top w:type="dxa" w:w="80"/>
              <w:left w:type="dxa" w:w="160"/>
              <w:bottom w:type="dxa" w:w="80"/>
              <w:right w:type="dxa" w:w="120"/>
            </w:tcMar>
          </w:tcPr>
          <w:p>
            <w:r>
              <w:rPr>
                <w:rFonts w:ascii="Arial" w:cs="Arial" w:eastAsia="Arial" w:hAnsi="Arial"/>
                <w:b/>
                <w:bCs/>
                <w:color w:val="1A5C3A"/>
                <w:sz w:val="20"/>
                <w:szCs w:val="20"/>
              </w:rPr>
              <w:t xml:space="preserve">Identity / Mass</w:t>
            </w:r>
          </w:p>
        </w:tc>
        <w:tc>
          <w:tcPr>
            <w:tcW w:type="dxa" w:w="5760"/>
            <w:tcBorders>
              <w:top w:val="single" w:color="CCCCCC" w:sz="1"/>
              <w:left w:val="single" w:color="CCCCCC" w:sz="1"/>
              <w:bottom w:val="single" w:color="CCCCCC" w:sz="1"/>
              <w:right w:val="single" w:color="CCCCCC" w:sz="1"/>
            </w:tcBorders>
            <w:shd w:fill="F0F5F8" w:val="clear"/>
            <w:tcMar>
              <w:top w:type="dxa" w:w="80"/>
              <w:left w:type="dxa" w:w="160"/>
              <w:bottom w:type="dxa" w:w="80"/>
              <w:right w:type="dxa" w:w="120"/>
            </w:tcMar>
          </w:tcPr>
          <w:p>
            <w:r>
              <w:rPr>
                <w:rFonts w:ascii="Arial" w:cs="Arial" w:eastAsia="Arial" w:hAnsi="Arial"/>
                <w:color w:val="333333"/>
                <w:sz w:val="20"/>
                <w:szCs w:val="20"/>
              </w:rPr>
              <w:t xml:space="preserve">ESI-MS confirming ≈4813 Da molecular weight</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5C3A"/>
                <w:sz w:val="20"/>
                <w:szCs w:val="20"/>
              </w:rPr>
              <w:t xml:space="preserve">Sequence Verification</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20"/>
                <w:szCs w:val="20"/>
              </w:rPr>
              <w:t xml:space="preserve">Amino acid analysis confirming 39-AA sequence and lipid modification</w:t>
            </w:r>
          </w:p>
        </w:tc>
      </w:tr>
      <w:tr>
        <w:tc>
          <w:tcPr>
            <w:tcW w:type="dxa" w:w="3600"/>
            <w:tcBorders>
              <w:top w:val="single" w:color="CCCCCC" w:sz="1"/>
              <w:left w:val="single" w:color="CCCCCC" w:sz="1"/>
              <w:bottom w:val="single" w:color="CCCCCC" w:sz="1"/>
              <w:right w:val="single" w:color="CCCCCC" w:sz="1"/>
            </w:tcBorders>
            <w:shd w:fill="F0F5F8" w:val="clear"/>
            <w:tcMar>
              <w:top w:type="dxa" w:w="80"/>
              <w:left w:type="dxa" w:w="160"/>
              <w:bottom w:type="dxa" w:w="80"/>
              <w:right w:type="dxa" w:w="120"/>
            </w:tcMar>
          </w:tcPr>
          <w:p>
            <w:r>
              <w:rPr>
                <w:rFonts w:ascii="Arial" w:cs="Arial" w:eastAsia="Arial" w:hAnsi="Arial"/>
                <w:b/>
                <w:bCs/>
                <w:color w:val="1A5C3A"/>
                <w:sz w:val="20"/>
                <w:szCs w:val="20"/>
              </w:rPr>
              <w:t xml:space="preserve">Endotoxin</w:t>
            </w:r>
          </w:p>
        </w:tc>
        <w:tc>
          <w:tcPr>
            <w:tcW w:type="dxa" w:w="5760"/>
            <w:tcBorders>
              <w:top w:val="single" w:color="CCCCCC" w:sz="1"/>
              <w:left w:val="single" w:color="CCCCCC" w:sz="1"/>
              <w:bottom w:val="single" w:color="CCCCCC" w:sz="1"/>
              <w:right w:val="single" w:color="CCCCCC" w:sz="1"/>
            </w:tcBorders>
            <w:shd w:fill="F0F5F8" w:val="clear"/>
            <w:tcMar>
              <w:top w:type="dxa" w:w="80"/>
              <w:left w:type="dxa" w:w="160"/>
              <w:bottom w:type="dxa" w:w="80"/>
              <w:right w:type="dxa" w:w="120"/>
            </w:tcMar>
          </w:tcPr>
          <w:p>
            <w:r>
              <w:rPr>
                <w:rFonts w:ascii="Arial" w:cs="Arial" w:eastAsia="Arial" w:hAnsi="Arial"/>
                <w:color w:val="333333"/>
                <w:sz w:val="20"/>
                <w:szCs w:val="20"/>
              </w:rPr>
              <w:t xml:space="preserve">&lt;5 EU/mg via LAL method</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5C3A"/>
                <w:sz w:val="20"/>
                <w:szCs w:val="20"/>
              </w:rPr>
              <w:t xml:space="preserve">Water Content</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20"/>
                <w:szCs w:val="20"/>
              </w:rPr>
              <w:t xml:space="preserve">&lt;8% by Karl Fischer titration</w:t>
            </w:r>
          </w:p>
        </w:tc>
      </w:tr>
      <w:tr>
        <w:tc>
          <w:tcPr>
            <w:tcW w:type="dxa" w:w="3600"/>
            <w:tcBorders>
              <w:top w:val="single" w:color="CCCCCC" w:sz="1"/>
              <w:left w:val="single" w:color="CCCCCC" w:sz="1"/>
              <w:bottom w:val="single" w:color="CCCCCC" w:sz="1"/>
              <w:right w:val="single" w:color="CCCCCC" w:sz="1"/>
            </w:tcBorders>
            <w:shd w:fill="F0F5F8" w:val="clear"/>
            <w:tcMar>
              <w:top w:type="dxa" w:w="80"/>
              <w:left w:type="dxa" w:w="160"/>
              <w:bottom w:type="dxa" w:w="80"/>
              <w:right w:type="dxa" w:w="120"/>
            </w:tcMar>
          </w:tcPr>
          <w:p>
            <w:r>
              <w:rPr>
                <w:rFonts w:ascii="Arial" w:cs="Arial" w:eastAsia="Arial" w:hAnsi="Arial"/>
                <w:b/>
                <w:bCs/>
                <w:color w:val="1A5C3A"/>
                <w:sz w:val="20"/>
                <w:szCs w:val="20"/>
              </w:rPr>
              <w:t xml:space="preserve">Residual Solvents</w:t>
            </w:r>
          </w:p>
        </w:tc>
        <w:tc>
          <w:tcPr>
            <w:tcW w:type="dxa" w:w="5760"/>
            <w:tcBorders>
              <w:top w:val="single" w:color="CCCCCC" w:sz="1"/>
              <w:left w:val="single" w:color="CCCCCC" w:sz="1"/>
              <w:bottom w:val="single" w:color="CCCCCC" w:sz="1"/>
              <w:right w:val="single" w:color="CCCCCC" w:sz="1"/>
            </w:tcBorders>
            <w:shd w:fill="F0F5F8" w:val="clear"/>
            <w:tcMar>
              <w:top w:type="dxa" w:w="80"/>
              <w:left w:type="dxa" w:w="160"/>
              <w:bottom w:type="dxa" w:w="80"/>
              <w:right w:type="dxa" w:w="120"/>
            </w:tcMar>
          </w:tcPr>
          <w:p>
            <w:r>
              <w:rPr>
                <w:rFonts w:ascii="Arial" w:cs="Arial" w:eastAsia="Arial" w:hAnsi="Arial"/>
                <w:color w:val="333333"/>
                <w:sz w:val="20"/>
                <w:szCs w:val="20"/>
              </w:rPr>
              <w:t xml:space="preserve">Within ICH guidelines (TFA, acetonitrile)</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5C3A"/>
                <w:sz w:val="20"/>
                <w:szCs w:val="20"/>
              </w:rPr>
              <w:t xml:space="preserve">Certificate of Analysis</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20"/>
                <w:szCs w:val="20"/>
              </w:rPr>
              <w:t xml:space="preserve">Provided with each batch; available pre-purchase on request</w:t>
            </w:r>
          </w:p>
        </w:tc>
      </w:tr>
    </w:tbl>
    <w:p>
      <w:pPr>
        <w:spacing w:after="80" w:before="80"/>
      </w:pPr>
    </w:p>
    <w:p>
      <w:pPr>
        <w:pStyle w:val="Heading1"/>
        <w:spacing w:after="120" w:before="360"/>
      </w:pPr>
      <w:r>
        <w:rPr>
          <w:rFonts w:ascii="Arial" w:cs="Arial" w:eastAsia="Arial" w:hAnsi="Arial"/>
          <w:b/>
          <w:bCs/>
          <w:color w:val="1A5C3A"/>
          <w:sz w:val="32"/>
          <w:szCs w:val="32"/>
        </w:rPr>
        <w:t xml:space="preserve">Scientific References</w:t>
      </w:r>
    </w:p>
    <w:p>
      <w:pPr>
        <w:spacing w:after="120" w:before="60" w:line="276"/>
      </w:pPr>
      <w:r>
        <w:rPr>
          <w:rFonts w:ascii="Arial" w:cs="Arial" w:eastAsia="Arial" w:hAnsi="Arial"/>
          <w:color w:val="333333"/>
          <w:sz w:val="22"/>
          <w:szCs w:val="22"/>
        </w:rPr>
        <w:t xml:space="preserve">Jastreboff, A.M. et al. (2022). Tirzepatide once weekly for the treatment of obesity. New England Journal of Medicine. https://doi.org/10.1056/NEJMoa2206038</w:t>
      </w:r>
    </w:p>
    <w:p>
      <w:pPr>
        <w:spacing w:after="120" w:before="60" w:line="276"/>
      </w:pPr>
      <w:r>
        <w:rPr>
          <w:rFonts w:ascii="Arial" w:cs="Arial" w:eastAsia="Arial" w:hAnsi="Arial"/>
          <w:color w:val="333333"/>
          <w:sz w:val="22"/>
          <w:szCs w:val="22"/>
        </w:rPr>
        <w:t xml:space="preserve">Frías, J.P. et al. (2021). Tirzepatide versus semaglutide once weekly in patients with type 2 diabetes. New England Journal of Medicine. https://doi.org/10.1056/NEJMoa2107519</w:t>
      </w:r>
    </w:p>
    <w:p>
      <w:pPr>
        <w:spacing w:after="120" w:before="60" w:line="276"/>
      </w:pPr>
      <w:r>
        <w:rPr>
          <w:rFonts w:ascii="Arial" w:cs="Arial" w:eastAsia="Arial" w:hAnsi="Arial"/>
          <w:color w:val="333333"/>
          <w:sz w:val="22"/>
          <w:szCs w:val="22"/>
        </w:rPr>
        <w:t xml:space="preserve">Heise, T. et al. (2023). Effects of tirzepatide on body weight and glycemic control in patients with type 2 diabetes. Diabetes Care, 46(5), 998–1006.</w:t>
      </w:r>
    </w:p>
    <w:p>
      <w:pPr>
        <w:spacing w:after="120" w:before="60" w:line="276"/>
      </w:pPr>
      <w:r>
        <w:rPr>
          <w:rFonts w:ascii="Arial" w:cs="Arial" w:eastAsia="Arial" w:hAnsi="Arial"/>
          <w:color w:val="333333"/>
          <w:sz w:val="22"/>
          <w:szCs w:val="22"/>
        </w:rPr>
        <w:t xml:space="preserve">Dahl, D. et al. (2022). Tirzepatide reduces appetite, energy intake, and fat mass in people with type 2 diabetes. Diabetes Care.</w:t>
      </w:r>
    </w:p>
    <w:p>
      <w:pPr>
        <w:spacing w:after="120" w:before="60" w:line="276"/>
      </w:pPr>
      <w:r>
        <w:rPr>
          <w:rFonts w:ascii="Arial" w:cs="Arial" w:eastAsia="Arial" w:hAnsi="Arial"/>
          <w:color w:val="333333"/>
          <w:sz w:val="22"/>
          <w:szCs w:val="22"/>
        </w:rPr>
        <w:t xml:space="preserve">Min, T. &amp; Bain, S.C. (2021). The role of tirzepatide, dual GIP and GLP-1 receptor agonist, in the management of type 2 diabetes. Drug Design, Development and Therapy, 15, 4567–4578. https://www.pnas.org/doi/10.1073/pnas.2116506119</w:t>
      </w:r>
    </w:p>
    <w:p>
      <w:pPr>
        <w:pStyle w:val="Heading1"/>
        <w:spacing w:after="120" w:before="360"/>
      </w:pPr>
      <w:r>
        <w:rPr>
          <w:rFonts w:ascii="Arial" w:cs="Arial" w:eastAsia="Arial" w:hAnsi="Arial"/>
          <w:b/>
          <w:bCs/>
          <w:color w:val="1A5C3A"/>
          <w:sz w:val="32"/>
          <w:szCs w:val="32"/>
        </w:rPr>
        <w:t xml:space="preserve">Research Use Disclaimer</w:t>
      </w:r>
    </w:p>
    <w:p>
      <w:pPr>
        <w:pBdr>
          <w:top w:val="single" w:color="C0392B" w:sz="4" w:space="4"/>
          <w:bottom w:val="single" w:color="C0392B" w:sz="4" w:space="4"/>
          <w:left w:val="single" w:color="C0392B" w:sz="18" w:space="4"/>
          <w:right w:val="single" w:color="C0392B" w:sz="4" w:space="4"/>
        </w:pBdr>
        <w:shd w:fill="FFF5F5" w:val="clear"/>
        <w:spacing w:after="120" w:before="100"/>
      </w:pPr>
      <w:r>
        <w:rPr>
          <w:rFonts w:ascii="Arial" w:cs="Arial" w:eastAsia="Arial" w:hAnsi="Arial"/>
          <w:color w:val="C0392B"/>
          <w:sz w:val="20"/>
          <w:szCs w:val="20"/>
        </w:rPr>
        <w:t xml:space="preserve">This product is supplied exclusively for in vitro laboratory research and approved preclinical studies. It has not been approved by the FDA, EMA, or any regulatory authority for therapeutic, diagnostic, or nutritional use in humans. Bodily introduction into humans or animals outside of formally approved research frameworks is strictly prohibited. This product must be handled only by licensed, qualified research professionals in an appropriate institutional setting with proper oversight. All information provided here is for scientific reference only and does not constitute medical advice, treatment guidance, or clinical recommendation.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20"/>
      <w:jc w:val="center"/>
    </w:pPr>
    <w:r>
      <w:rPr>
        <w:rFonts w:ascii="Arial" w:cs="Arial" w:eastAsia="Arial" w:hAnsi="Arial"/>
        <w:color w:val="999999"/>
        <w:sz w:val="18"/>
        <w:szCs w:val="18"/>
      </w:rPr>
      <w:t xml:space="preserve">PeptideLab | For In Vitro Research Only | </w:t>
    </w: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C3A" w:sz="6" w:space="1"/>
      </w:pBdr>
      <w:spacing w:after="160" w:before="0"/>
    </w:pPr>
    <w:r>
      <w:rPr>
        <w:rFonts w:ascii="Arial" w:cs="Arial" w:eastAsia="Arial" w:hAnsi="Arial"/>
        <w:b/>
        <w:bCs/>
        <w:color w:val="1A5C3A"/>
        <w:sz w:val="20"/>
        <w:szCs w:val="20"/>
      </w:rPr>
      <w:t xml:space="preserve">Tirzepatide (GLP-1/GIP Dual Agonist) — 20mg</w:t>
    </w:r>
    <w:r>
      <w:rPr>
        <w:rFonts w:ascii="Arial" w:cs="Arial" w:eastAsia="Arial" w:hAnsi="Arial"/>
        <w:color w:val="999999"/>
        <w:sz w:val="18"/>
        <w:szCs w:val="18"/>
      </w:rPr>
      <w:t xml:space="preserve">   |   Research Use Only — Not for Human Consumption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2026-04-30T20:36:57.470Z</dcterms:created>
  <dcterms:modified xsi:type="dcterms:W3CDTF">2026-04-30T20:36:57.471Z</dcterms:modified>
</cp:coreProperties>
</file>

<file path=docProps/custom.xml><?xml version="1.0" encoding="utf-8"?>
<Properties xmlns="http://schemas.openxmlformats.org/officeDocument/2006/custom-properties" xmlns:vt="http://schemas.openxmlformats.org/officeDocument/2006/docPropsVTypes"/>
</file>