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VeriBrand Round 2 Update</w:t>
      </w:r>
    </w:p>
    <w:p>
      <w:pPr>
        <w:pStyle w:val="Subtitle"/>
      </w:pPr>
      <w:r>
        <w:t>Team 27  |  DHEERAJ M G and Charan Teja Arangi  |  22 October 2026</w:t>
      </w:r>
    </w:p>
    <w:p>
      <w:pPr>
        <w:pStyle w:val="Heading2"/>
      </w:pPr>
      <w:r>
        <w:t>Summary</w:t>
      </w:r>
    </w:p>
    <w:p>
      <w:r>
        <w:t>VeriBrand is a working text-first brand-governance demo. Creators review content against approved fictional Acme Hydrate knowledge, inspect cited findings and make explicit decisions. New versions pass to a Manager, with Reviewer sign-off for retained medical risks. The live core workflow and an uncached Groq request passed the submission checks.</w:t>
      </w:r>
    </w:p>
    <w:p>
      <w:r>
        <w:t xml:space="preserve">Live demo: </w:t>
      </w:r>
      <w:hyperlink r:id="rId10">
        <w:r>
          <w:rPr>
            <w:color w:val="0E7C86"/>
          </w:rPr>
          <w:t>https://veribrand.onrender.com</w:t>
        </w:r>
      </w:hyperlink>
    </w:p>
    <w:p>
      <w:r>
        <w:t xml:space="preserve">Repository: </w:t>
      </w:r>
      <w:hyperlink r:id="rId11">
        <w:r>
          <w:rPr>
            <w:color w:val="0E7C86"/>
          </w:rPr>
          <w:t>https://github.com/DheerajMG-Bng/veribrand</w:t>
        </w:r>
      </w:hyperlink>
    </w:p>
    <w:p>
      <w:r>
        <w:t>Roles are simulated, not authentication. This shared hackathon deployment is not a production service. The team observed three informal volunteer sessions after deployment; their notes and the supplied team contributions are included.</w:t>
      </w:r>
    </w:p>
    <w:p>
      <w:pPr>
        <w:pStyle w:val="Heading2"/>
      </w:pPr>
      <w:r>
        <w:t>Round 1 plan and delivered implementation</w:t>
      </w:r>
    </w:p>
    <w:p>
      <w:r>
        <w:t>This comparison describes our Round 1 plan (Team 27) and the Round 2 delivery.</w:t>
      </w:r>
    </w:p>
    <w:tbl>
      <w:tblPr>
        <w:tblW w:type="auto" w:w="0"/>
        <w:jc w:val="center"/>
        <w:tblLayout w:type="fixed"/>
        <w:tblLook w:firstColumn="1" w:firstRow="1" w:lastColumn="0" w:lastRow="0" w:noHBand="0" w:noVBand="1" w:val="04A0"/>
      </w:tblPr>
      <w:tblGrid>
        <w:gridCol w:w="2160"/>
        <w:gridCol w:w="3816"/>
        <w:gridCol w:w="3816"/>
      </w:tblGrid>
      <w:tr>
        <w:trPr>
          <w:cantSplit/>
          <w:tblHeader/>
        </w:trPr>
        <w:tc>
          <w:tcPr>
            <w:tcW w:type="dxa" w:w="2160"/>
            <w:vAlign w:val="center"/>
            <w:tcBorders>
              <w:top w:val="single" w:sz="4" w:color="D9D9D9"/>
              <w:left w:val="single" w:sz="4" w:color="D9D9D9"/>
              <w:bottom w:val="single" w:sz="4" w:color="D9D9D9"/>
              <w:right w:val="single" w:sz="4" w:color="D9D9D9"/>
            </w:tcBorders>
            <w:shd w:fill="1F2A44"/>
            <w:tcMar>
              <w:top w:w="85" w:type="dxa"/>
              <w:left w:w="85" w:type="dxa"/>
              <w:bottom w:w="85" w:type="dxa"/>
              <w:right w:w="85" w:type="dxa"/>
            </w:tcMar>
          </w:tcPr>
          <w:p>
            <w:pPr>
              <w:spacing w:after="40" w:line="250" w:lineRule="auto"/>
            </w:pPr>
            <w:r>
              <w:rPr>
                <w:b/>
                <w:color w:val="FFFFFF"/>
                <w:sz w:val="19"/>
              </w:rPr>
              <w:t>Our Round 1 plan</w:t>
            </w:r>
          </w:p>
        </w:tc>
        <w:tc>
          <w:tcPr>
            <w:tcW w:type="dxa" w:w="3816"/>
            <w:vAlign w:val="center"/>
            <w:tcBorders>
              <w:top w:val="single" w:sz="4" w:color="D9D9D9"/>
              <w:left w:val="single" w:sz="4" w:color="D9D9D9"/>
              <w:bottom w:val="single" w:sz="4" w:color="D9D9D9"/>
              <w:right w:val="single" w:sz="4" w:color="D9D9D9"/>
            </w:tcBorders>
            <w:shd w:fill="1F2A44"/>
            <w:tcMar>
              <w:top w:w="85" w:type="dxa"/>
              <w:left w:w="85" w:type="dxa"/>
              <w:bottom w:w="85" w:type="dxa"/>
              <w:right w:w="85" w:type="dxa"/>
            </w:tcMar>
          </w:tcPr>
          <w:p>
            <w:pPr>
              <w:spacing w:after="40" w:line="250" w:lineRule="auto"/>
            </w:pPr>
            <w:r>
              <w:rPr>
                <w:b/>
                <w:color w:val="FFFFFF"/>
                <w:sz w:val="19"/>
              </w:rPr>
              <w:t>Delivered in Round 2</w:t>
            </w:r>
          </w:p>
        </w:tc>
        <w:tc>
          <w:tcPr>
            <w:tcW w:type="dxa" w:w="3816"/>
            <w:vAlign w:val="center"/>
            <w:tcBorders>
              <w:top w:val="single" w:sz="4" w:color="D9D9D9"/>
              <w:left w:val="single" w:sz="4" w:color="D9D9D9"/>
              <w:bottom w:val="single" w:sz="4" w:color="D9D9D9"/>
              <w:right w:val="single" w:sz="4" w:color="D9D9D9"/>
            </w:tcBorders>
            <w:shd w:fill="1F2A44"/>
            <w:tcMar>
              <w:top w:w="85" w:type="dxa"/>
              <w:left w:w="85" w:type="dxa"/>
              <w:bottom w:w="85" w:type="dxa"/>
              <w:right w:w="85" w:type="dxa"/>
            </w:tcMar>
          </w:tcPr>
          <w:p>
            <w:pPr>
              <w:spacing w:after="40" w:line="250" w:lineRule="auto"/>
            </w:pPr>
            <w:r>
              <w:rPr>
                <w:b/>
                <w:color w:val="FFFFFF"/>
                <w:sz w:val="19"/>
              </w:rPr>
              <w:t>Why it changed</w:t>
            </w:r>
          </w:p>
        </w:tc>
      </w:tr>
      <w:tr>
        <w:trPr>
          <w:cantSplit/>
        </w:trPr>
        <w:tc>
          <w:tcPr>
            <w:tcW w:type="dxa" w:w="2160"/>
            <w:vAlign w:val="center"/>
            <w:tcBorders>
              <w:top w:val="single" w:sz="4" w:color="D9D9D9"/>
              <w:left w:val="single" w:sz="4" w:color="D9D9D9"/>
              <w:bottom w:val="single" w:sz="4" w:color="D9D9D9"/>
              <w:right w:val="single" w:sz="4" w:color="D9D9D9"/>
            </w:tcBorders>
            <w:shd w:fill="F3F6F8"/>
            <w:tcMar>
              <w:top w:w="85" w:type="dxa"/>
              <w:left w:w="85" w:type="dxa"/>
              <w:bottom w:w="85" w:type="dxa"/>
              <w:right w:w="85" w:type="dxa"/>
            </w:tcMar>
          </w:tcPr>
          <w:p>
            <w:pPr>
              <w:spacing w:after="40" w:line="250" w:lineRule="auto"/>
            </w:pPr>
            <w:r>
              <w:rPr>
                <w:b w:val="0"/>
                <w:color w:val="000000"/>
                <w:sz w:val="19"/>
              </w:rPr>
              <w:t>Gemini API</w:t>
            </w:r>
          </w:p>
        </w:tc>
        <w:tc>
          <w:tcPr>
            <w:tcW w:type="dxa" w:w="3816"/>
            <w:vAlign w:val="center"/>
            <w:tcBorders>
              <w:top w:val="single" w:sz="4" w:color="D9D9D9"/>
              <w:left w:val="single" w:sz="4" w:color="D9D9D9"/>
              <w:bottom w:val="single" w:sz="4" w:color="D9D9D9"/>
              <w:right w:val="single" w:sz="4" w:color="D9D9D9"/>
            </w:tcBorders>
            <w:shd w:fill="F3F6F8"/>
            <w:tcMar>
              <w:top w:w="85" w:type="dxa"/>
              <w:left w:w="85" w:type="dxa"/>
              <w:bottom w:w="85" w:type="dxa"/>
              <w:right w:w="85" w:type="dxa"/>
            </w:tcMar>
          </w:tcPr>
          <w:p>
            <w:pPr>
              <w:spacing w:after="40" w:line="250" w:lineRule="auto"/>
            </w:pPr>
            <w:r>
              <w:rPr>
                <w:b w:val="0"/>
                <w:color w:val="000000"/>
                <w:sz w:val="19"/>
              </w:rPr>
              <w:t>Groq via HTTPX with configured fallback</w:t>
            </w:r>
          </w:p>
        </w:tc>
        <w:tc>
          <w:tcPr>
            <w:tcW w:type="dxa" w:w="3816"/>
            <w:vAlign w:val="center"/>
            <w:tcBorders>
              <w:top w:val="single" w:sz="4" w:color="D9D9D9"/>
              <w:left w:val="single" w:sz="4" w:color="D9D9D9"/>
              <w:bottom w:val="single" w:sz="4" w:color="D9D9D9"/>
              <w:right w:val="single" w:sz="4" w:color="D9D9D9"/>
            </w:tcBorders>
            <w:shd w:fill="F3F6F8"/>
            <w:tcMar>
              <w:top w:w="85" w:type="dxa"/>
              <w:left w:w="85" w:type="dxa"/>
              <w:bottom w:w="85" w:type="dxa"/>
              <w:right w:w="85" w:type="dxa"/>
            </w:tcMar>
          </w:tcPr>
          <w:p>
            <w:pPr>
              <w:spacing w:after="40" w:line="250" w:lineRule="auto"/>
            </w:pPr>
            <w:r>
              <w:rPr>
                <w:b w:val="0"/>
                <w:color w:val="000000"/>
                <w:sz w:val="19"/>
              </w:rPr>
              <w:t>Use the existing provider; degrade safely</w:t>
            </w:r>
          </w:p>
        </w:tc>
      </w:tr>
      <w:tr>
        <w:trPr>
          <w:cantSplit/>
        </w:trPr>
        <w:tc>
          <w:tcPr>
            <w:tcW w:type="dxa" w:w="2160"/>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50" w:lineRule="auto"/>
            </w:pPr>
            <w:r>
              <w:rPr>
                <w:b w:val="0"/>
                <w:color w:val="000000"/>
                <w:sz w:val="19"/>
              </w:rPr>
              <w:t>Supabase/PostgreSQL</w:t>
            </w:r>
          </w:p>
        </w:tc>
        <w:tc>
          <w:tcPr>
            <w:tcW w:type="dxa" w:w="3816"/>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50" w:lineRule="auto"/>
            </w:pPr>
            <w:r>
              <w:rPr>
                <w:b w:val="0"/>
                <w:color w:val="000000"/>
                <w:sz w:val="19"/>
              </w:rPr>
              <w:t>SQLAlchemy 2 and SQLite</w:t>
            </w:r>
          </w:p>
        </w:tc>
        <w:tc>
          <w:tcPr>
            <w:tcW w:type="dxa" w:w="3816"/>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50" w:lineRule="auto"/>
            </w:pPr>
            <w:r>
              <w:rPr>
                <w:b w:val="0"/>
                <w:color w:val="000000"/>
                <w:sz w:val="19"/>
              </w:rPr>
              <w:t>Reduce external setup for the demo</w:t>
            </w:r>
          </w:p>
        </w:tc>
      </w:tr>
      <w:tr>
        <w:trPr>
          <w:cantSplit/>
        </w:trPr>
        <w:tc>
          <w:tcPr>
            <w:tcW w:type="dxa" w:w="2160"/>
            <w:vAlign w:val="center"/>
            <w:tcBorders>
              <w:top w:val="single" w:sz="4" w:color="D9D9D9"/>
              <w:left w:val="single" w:sz="4" w:color="D9D9D9"/>
              <w:bottom w:val="single" w:sz="4" w:color="D9D9D9"/>
              <w:right w:val="single" w:sz="4" w:color="D9D9D9"/>
            </w:tcBorders>
            <w:shd w:fill="F3F6F8"/>
            <w:tcMar>
              <w:top w:w="85" w:type="dxa"/>
              <w:left w:w="85" w:type="dxa"/>
              <w:bottom w:w="85" w:type="dxa"/>
              <w:right w:w="85" w:type="dxa"/>
            </w:tcMar>
          </w:tcPr>
          <w:p>
            <w:pPr>
              <w:spacing w:after="40" w:line="250" w:lineRule="auto"/>
            </w:pPr>
            <w:r>
              <w:rPr>
                <w:b w:val="0"/>
                <w:color w:val="000000"/>
                <w:sz w:val="19"/>
              </w:rPr>
              <w:t>pgvector retrieval</w:t>
            </w:r>
          </w:p>
        </w:tc>
        <w:tc>
          <w:tcPr>
            <w:tcW w:type="dxa" w:w="3816"/>
            <w:vAlign w:val="center"/>
            <w:tcBorders>
              <w:top w:val="single" w:sz="4" w:color="D9D9D9"/>
              <w:left w:val="single" w:sz="4" w:color="D9D9D9"/>
              <w:bottom w:val="single" w:sz="4" w:color="D9D9D9"/>
              <w:right w:val="single" w:sz="4" w:color="D9D9D9"/>
            </w:tcBorders>
            <w:shd w:fill="F3F6F8"/>
            <w:tcMar>
              <w:top w:w="85" w:type="dxa"/>
              <w:left w:w="85" w:type="dxa"/>
              <w:bottom w:w="85" w:type="dxa"/>
              <w:right w:w="85" w:type="dxa"/>
            </w:tcMar>
          </w:tcPr>
          <w:p>
            <w:pPr>
              <w:spacing w:after="40" w:line="250" w:lineRule="auto"/>
            </w:pPr>
            <w:r>
              <w:rPr>
                <w:b w:val="0"/>
                <w:color w:val="000000"/>
                <w:sz w:val="19"/>
              </w:rPr>
              <w:t>Complete compact 19-item KB prompt</w:t>
            </w:r>
          </w:p>
        </w:tc>
        <w:tc>
          <w:tcPr>
            <w:tcW w:type="dxa" w:w="3816"/>
            <w:vAlign w:val="center"/>
            <w:tcBorders>
              <w:top w:val="single" w:sz="4" w:color="D9D9D9"/>
              <w:left w:val="single" w:sz="4" w:color="D9D9D9"/>
              <w:bottom w:val="single" w:sz="4" w:color="D9D9D9"/>
              <w:right w:val="single" w:sz="4" w:color="D9D9D9"/>
            </w:tcBorders>
            <w:shd w:fill="F3F6F8"/>
            <w:tcMar>
              <w:top w:w="85" w:type="dxa"/>
              <w:left w:w="85" w:type="dxa"/>
              <w:bottom w:w="85" w:type="dxa"/>
              <w:right w:w="85" w:type="dxa"/>
            </w:tcMar>
          </w:tcPr>
          <w:p>
            <w:pPr>
              <w:spacing w:after="40" w:line="250" w:lineRule="auto"/>
            </w:pPr>
            <w:r>
              <w:rPr>
                <w:b w:val="0"/>
                <w:color w:val="000000"/>
                <w:sz w:val="19"/>
              </w:rPr>
              <w:t>Small supplied knowledge set</w:t>
            </w:r>
          </w:p>
        </w:tc>
      </w:tr>
      <w:tr>
        <w:trPr>
          <w:cantSplit/>
        </w:trPr>
        <w:tc>
          <w:tcPr>
            <w:tcW w:type="dxa" w:w="2160"/>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50" w:lineRule="auto"/>
            </w:pPr>
            <w:r>
              <w:rPr>
                <w:b w:val="0"/>
                <w:color w:val="000000"/>
                <w:sz w:val="19"/>
              </w:rPr>
              <w:t>Separate React hosting</w:t>
            </w:r>
          </w:p>
        </w:tc>
        <w:tc>
          <w:tcPr>
            <w:tcW w:type="dxa" w:w="3816"/>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50" w:lineRule="auto"/>
            </w:pPr>
            <w:r>
              <w:rPr>
                <w:b w:val="0"/>
                <w:color w:val="000000"/>
                <w:sz w:val="19"/>
              </w:rPr>
              <w:t>React build served by FastAPI</w:t>
            </w:r>
          </w:p>
        </w:tc>
        <w:tc>
          <w:tcPr>
            <w:tcW w:type="dxa" w:w="3816"/>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50" w:lineRule="auto"/>
            </w:pPr>
            <w:r>
              <w:rPr>
                <w:b w:val="0"/>
                <w:color w:val="000000"/>
                <w:sz w:val="19"/>
              </w:rPr>
              <w:t>One Python deployment and one origin</w:t>
            </w:r>
          </w:p>
        </w:tc>
      </w:tr>
      <w:tr>
        <w:trPr>
          <w:cantSplit/>
        </w:trPr>
        <w:tc>
          <w:tcPr>
            <w:tcW w:type="dxa" w:w="2160"/>
            <w:vAlign w:val="center"/>
            <w:tcBorders>
              <w:top w:val="single" w:sz="4" w:color="D9D9D9"/>
              <w:left w:val="single" w:sz="4" w:color="D9D9D9"/>
              <w:bottom w:val="single" w:sz="4" w:color="D9D9D9"/>
              <w:right w:val="single" w:sz="4" w:color="D9D9D9"/>
            </w:tcBorders>
            <w:shd w:fill="F3F6F8"/>
            <w:tcMar>
              <w:top w:w="85" w:type="dxa"/>
              <w:left w:w="85" w:type="dxa"/>
              <w:bottom w:w="85" w:type="dxa"/>
              <w:right w:w="85" w:type="dxa"/>
            </w:tcMar>
          </w:tcPr>
          <w:p>
            <w:pPr>
              <w:spacing w:after="40" w:line="250" w:lineRule="auto"/>
            </w:pPr>
            <w:r>
              <w:rPr>
                <w:b w:val="0"/>
                <w:color w:val="000000"/>
                <w:sz w:val="19"/>
              </w:rPr>
              <w:t>Real user roles</w:t>
            </w:r>
          </w:p>
        </w:tc>
        <w:tc>
          <w:tcPr>
            <w:tcW w:type="dxa" w:w="3816"/>
            <w:vAlign w:val="center"/>
            <w:tcBorders>
              <w:top w:val="single" w:sz="4" w:color="D9D9D9"/>
              <w:left w:val="single" w:sz="4" w:color="D9D9D9"/>
              <w:bottom w:val="single" w:sz="4" w:color="D9D9D9"/>
              <w:right w:val="single" w:sz="4" w:color="D9D9D9"/>
            </w:tcBorders>
            <w:shd w:fill="F3F6F8"/>
            <w:tcMar>
              <w:top w:w="85" w:type="dxa"/>
              <w:left w:w="85" w:type="dxa"/>
              <w:bottom w:w="85" w:type="dxa"/>
              <w:right w:w="85" w:type="dxa"/>
            </w:tcMar>
          </w:tcPr>
          <w:p>
            <w:pPr>
              <w:spacing w:after="40" w:line="250" w:lineRule="auto"/>
            </w:pPr>
            <w:r>
              <w:rPr>
                <w:b w:val="0"/>
                <w:color w:val="000000"/>
                <w:sz w:val="19"/>
              </w:rPr>
              <w:t>Header-selected demo roles</w:t>
            </w:r>
          </w:p>
        </w:tc>
        <w:tc>
          <w:tcPr>
            <w:tcW w:type="dxa" w:w="3816"/>
            <w:vAlign w:val="center"/>
            <w:tcBorders>
              <w:top w:val="single" w:sz="4" w:color="D9D9D9"/>
              <w:left w:val="single" w:sz="4" w:color="D9D9D9"/>
              <w:bottom w:val="single" w:sz="4" w:color="D9D9D9"/>
              <w:right w:val="single" w:sz="4" w:color="D9D9D9"/>
            </w:tcBorders>
            <w:shd w:fill="F3F6F8"/>
            <w:tcMar>
              <w:top w:w="85" w:type="dxa"/>
              <w:left w:w="85" w:type="dxa"/>
              <w:bottom w:w="85" w:type="dxa"/>
              <w:right w:w="85" w:type="dxa"/>
            </w:tcMar>
          </w:tcPr>
          <w:p>
            <w:pPr>
              <w:spacing w:after="40" w:line="250" w:lineRule="auto"/>
            </w:pPr>
            <w:r>
              <w:rPr>
                <w:b w:val="0"/>
                <w:color w:val="000000"/>
                <w:sz w:val="19"/>
              </w:rPr>
              <w:t>Finish approval semantics before identity</w:t>
            </w:r>
          </w:p>
        </w:tc>
      </w:tr>
      <w:tr>
        <w:trPr>
          <w:cantSplit/>
        </w:trPr>
        <w:tc>
          <w:tcPr>
            <w:tcW w:type="dxa" w:w="2160"/>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50" w:lineRule="auto"/>
            </w:pPr>
            <w:r>
              <w:rPr>
                <w:b w:val="0"/>
                <w:color w:val="000000"/>
                <w:sz w:val="19"/>
              </w:rPr>
              <w:t>Image and DOCX/PDF review in scope</w:t>
            </w:r>
          </w:p>
        </w:tc>
        <w:tc>
          <w:tcPr>
            <w:tcW w:type="dxa" w:w="3816"/>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50" w:lineRule="auto"/>
            </w:pPr>
            <w:r>
              <w:rPr>
                <w:b w:val="0"/>
                <w:color w:val="000000"/>
                <w:sz w:val="19"/>
              </w:rPr>
              <w:t>Text review only; formats in Round 3</w:t>
            </w:r>
          </w:p>
        </w:tc>
        <w:tc>
          <w:tcPr>
            <w:tcW w:type="dxa" w:w="3816"/>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50" w:lineRule="auto"/>
            </w:pPr>
            <w:r>
              <w:rPr>
                <w:b w:val="0"/>
                <w:color w:val="000000"/>
                <w:sz w:val="19"/>
              </w:rPr>
              <w:t>Preserve the complete core workflow</w:t>
            </w:r>
          </w:p>
        </w:tc>
      </w:tr>
      <w:tr>
        <w:trPr>
          <w:cantSplit/>
        </w:trPr>
        <w:tc>
          <w:tcPr>
            <w:tcW w:type="dxa" w:w="2160"/>
            <w:vAlign w:val="center"/>
            <w:tcBorders>
              <w:top w:val="single" w:sz="4" w:color="D9D9D9"/>
              <w:left w:val="single" w:sz="4" w:color="D9D9D9"/>
              <w:bottom w:val="single" w:sz="4" w:color="D9D9D9"/>
              <w:right w:val="single" w:sz="4" w:color="D9D9D9"/>
            </w:tcBorders>
            <w:shd w:fill="F3F6F8"/>
            <w:tcMar>
              <w:top w:w="85" w:type="dxa"/>
              <w:left w:w="85" w:type="dxa"/>
              <w:bottom w:w="85" w:type="dxa"/>
              <w:right w:w="85" w:type="dxa"/>
            </w:tcMar>
          </w:tcPr>
          <w:p>
            <w:pPr>
              <w:spacing w:after="40" w:line="250" w:lineRule="auto"/>
            </w:pPr>
            <w:r>
              <w:rPr>
                <w:b w:val="0"/>
                <w:color w:val="000000"/>
                <w:sz w:val="19"/>
              </w:rPr>
              <w:t>Three planned improvements</w:t>
            </w:r>
          </w:p>
        </w:tc>
        <w:tc>
          <w:tcPr>
            <w:tcW w:type="dxa" w:w="3816"/>
            <w:vAlign w:val="center"/>
            <w:tcBorders>
              <w:top w:val="single" w:sz="4" w:color="D9D9D9"/>
              <w:left w:val="single" w:sz="4" w:color="D9D9D9"/>
              <w:bottom w:val="single" w:sz="4" w:color="D9D9D9"/>
              <w:right w:val="single" w:sz="4" w:color="D9D9D9"/>
            </w:tcBorders>
            <w:shd w:fill="F3F6F8"/>
            <w:tcMar>
              <w:top w:w="85" w:type="dxa"/>
              <w:left w:w="85" w:type="dxa"/>
              <w:bottom w:w="85" w:type="dxa"/>
              <w:right w:w="85" w:type="dxa"/>
            </w:tcMar>
          </w:tcPr>
          <w:p>
            <w:pPr>
              <w:spacing w:after="40" w:line="250" w:lineRule="auto"/>
            </w:pPr>
            <w:r>
              <w:rPr>
                <w:b w:val="0"/>
                <w:color w:val="000000"/>
                <w:sz w:val="19"/>
              </w:rPr>
              <w:t>Clarity insights, multi-format and evaluation harness retained for Round 3</w:t>
            </w:r>
          </w:p>
        </w:tc>
        <w:tc>
          <w:tcPr>
            <w:tcW w:type="dxa" w:w="3816"/>
            <w:vAlign w:val="center"/>
            <w:tcBorders>
              <w:top w:val="single" w:sz="4" w:color="D9D9D9"/>
              <w:left w:val="single" w:sz="4" w:color="D9D9D9"/>
              <w:bottom w:val="single" w:sz="4" w:color="D9D9D9"/>
              <w:right w:val="single" w:sz="4" w:color="D9D9D9"/>
            </w:tcBorders>
            <w:shd w:fill="F3F6F8"/>
            <w:tcMar>
              <w:top w:w="85" w:type="dxa"/>
              <w:left w:w="85" w:type="dxa"/>
              <w:bottom w:w="85" w:type="dxa"/>
              <w:right w:w="85" w:type="dxa"/>
            </w:tcMar>
          </w:tcPr>
          <w:p>
            <w:pPr>
              <w:spacing w:after="40" w:line="250" w:lineRule="auto"/>
            </w:pPr>
            <w:r>
              <w:rPr>
                <w:b w:val="0"/>
                <w:color w:val="000000"/>
                <w:sz w:val="19"/>
              </w:rPr>
              <w:t>Keep the planned direction with concrete designs</w:t>
            </w:r>
          </w:p>
        </w:tc>
      </w:tr>
    </w:tbl>
    <w:p>
      <w:pPr>
        <w:spacing w:after="0"/>
      </w:pPr>
    </w:p>
    <w:p>
      <w:r>
        <w:t>Additional Round 2 decisions include metadata-driven rules, grounding and replacement revalidation, plus a KB-matched precomputed sample cache to reduce latency and provider use.</w:t>
      </w:r>
    </w:p>
    <w:p>
      <w:r>
        <w:br w:type="page"/>
      </w:r>
    </w:p>
    <w:p>
      <w:pPr>
        <w:pStyle w:val="Heading1"/>
      </w:pPr>
      <w:r>
        <w:t>Completed features</w:t>
      </w:r>
    </w:p>
    <w:p>
      <w:r>
        <w:t>The following were exercised on the public service by HTTP requests or browser use on 22 October 2026. Automated checks are not human usability sessions.</w:t>
      </w:r>
    </w:p>
    <w:p>
      <w:pPr>
        <w:pStyle w:val="ListBullet"/>
        <w:spacing w:after="100"/>
      </w:pPr>
      <w:r>
        <w:t>Guided demo creates sample 1; sample selection loads and saves a draft.</w:t>
      </w:r>
    </w:p>
    <w:p>
      <w:pPr>
        <w:pStyle w:val="ListBullet"/>
        <w:spacing w:after="100"/>
      </w:pPr>
      <w:r>
        <w:t>Rules-only review highlights draft quotes and returns real KB codes; clicking T-02 opens its approved text.</w:t>
      </w:r>
    </w:p>
    <w:p>
      <w:pPr>
        <w:pStyle w:val="ListBullet"/>
        <w:spacing w:after="100"/>
      </w:pPr>
      <w:r>
        <w:t>Live AI review returns an AI-suggested unsupported claim, labelled Unverified, needs a human with Accept disabled.</w:t>
      </w:r>
    </w:p>
    <w:p>
      <w:pPr>
        <w:pStyle w:val="ListBullet"/>
        <w:spacing w:after="100"/>
      </w:pPr>
      <w:r>
        <w:t>Accept, edit and reject save explicit decisions; reject without a reason is rejected.</w:t>
      </w:r>
    </w:p>
    <w:p>
      <w:pPr>
        <w:pStyle w:val="ListBullet"/>
        <w:spacing w:after="100"/>
      </w:pPr>
      <w:r>
        <w:t>Apply decisions creates a new version. Review is required before submitting the latest version, and unapplied fixes block submission.</w:t>
      </w:r>
    </w:p>
    <w:p>
      <w:pPr>
        <w:pStyle w:val="ListBullet"/>
        <w:spacing w:after="100"/>
      </w:pPr>
      <w:r>
        <w:t>Version history, manual revisions and plain before/after comparison work.</w:t>
      </w:r>
    </w:p>
    <w:p>
      <w:pPr>
        <w:pStyle w:val="ListBullet"/>
        <w:spacing w:after="100"/>
      </w:pPr>
      <w:r>
        <w:t>Comments and return notes persist against content.</w:t>
      </w:r>
    </w:p>
    <w:p>
      <w:pPr>
        <w:pStyle w:val="ListBullet"/>
        <w:spacing w:after="100"/>
      </w:pPr>
      <w:r>
        <w:t>Manager approval routes retained medical risks to Reviewer; reasoned sign-off reaches Approved.</w:t>
      </w:r>
    </w:p>
    <w:p>
      <w:pPr>
        <w:pStyle w:val="ListBullet"/>
        <w:spacing w:after="100"/>
      </w:pPr>
      <w:r>
        <w:t>Return with comment, revision, re-review and resubmission work end to end.</w:t>
      </w:r>
    </w:p>
    <w:p>
      <w:pPr>
        <w:pStyle w:val="ListBullet"/>
        <w:spacing w:after="100"/>
      </w:pPr>
      <w:r>
        <w:t>Audit records the tested actions, decisions, role, time and AI involvement.</w:t>
      </w:r>
    </w:p>
    <w:p>
      <w:pPr>
        <w:pStyle w:val="ListBullet"/>
        <w:spacing w:after="100"/>
      </w:pPr>
      <w:r>
        <w:t>Knowledge Base groups 19 items. The live Admin editor saved a title change and restored the original.</w:t>
      </w:r>
    </w:p>
    <w:p>
      <w:pPr>
        <w:pStyle w:val="ListBullet"/>
        <w:spacing w:after="100"/>
      </w:pPr>
      <w:r>
        <w:t>Role switching exposes the relevant controls; wrong-role approval returns 403. AI status displays available after loading.</w:t>
      </w:r>
    </w:p>
    <w:p>
      <w:pPr>
        <w:pStyle w:val="ListBullet"/>
        <w:spacing w:after="100"/>
      </w:pPr>
      <w:r>
        <w:t>The public API accepts 5,000 characters, rejects 5,001 and returns a friendly review-rate 429 with Retry-After.</w:t>
      </w:r>
    </w:p>
    <w:p>
      <w:pPr>
        <w:pStyle w:val="ListBullet"/>
        <w:spacing w:after="100"/>
      </w:pPr>
      <w:r>
        <w:t>FastAPI serves the React app and frontend deep links from one deployment.</w:t>
      </w:r>
    </w:p>
    <w:p>
      <w:pPr>
        <w:pStyle w:val="Heading2"/>
      </w:pPr>
      <w:r>
        <w:t>Verification scope</w:t>
      </w:r>
    </w:p>
    <w:p>
      <w:r>
        <w:t>Browser checks covered the guided demo, sample form, rules review, cited source modal, AI labels, role selector, status chip and admin editor. Public HTTP checks exercised all decisions and approval states, diff, comments, audit, length boundary and rate limiting. Exact evidence and methods are committed under docs/submission/evidence and docs/submission/VERIFICATION.md.</w:t>
      </w:r>
    </w:p>
    <w:p>
      <w:r>
        <w:br w:type="page"/>
      </w:r>
    </w:p>
    <w:p>
      <w:pPr>
        <w:pStyle w:val="Heading1"/>
      </w:pPr>
      <w:r>
        <w:t>Architecture and technology</w:t>
      </w:r>
    </w:p>
    <w:p>
      <w:r>
        <w:drawing>
          <wp:inline xmlns:a="http://schemas.openxmlformats.org/drawingml/2006/main" xmlns:pic="http://schemas.openxmlformats.org/drawingml/2006/picture">
            <wp:extent cx="6217920" cy="2889504"/>
            <wp:docPr id="1" name="Picture 1" descr="React calls same-origin FastAPI. Workflow writes SQLite; review uses KB rules, cache and budgeted Groq, then grounding and human decisions."/>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6217920" cy="2889504"/>
                    </a:xfrm>
                    <a:prstGeom prst="rect"/>
                  </pic:spPr>
                </pic:pic>
              </a:graphicData>
            </a:graphic>
          </wp:inline>
        </w:drawing>
      </w:r>
    </w:p>
    <w:tbl>
      <w:tblPr>
        <w:tblW w:type="auto" w:w="0"/>
        <w:jc w:val="center"/>
        <w:tblLayout w:type="fixed"/>
        <w:tblLook w:firstColumn="1" w:firstRow="1" w:lastColumn="0" w:lastRow="0" w:noHBand="0" w:noVBand="1" w:val="04A0"/>
      </w:tblPr>
      <w:tblGrid>
        <w:gridCol w:w="1800"/>
        <w:gridCol w:w="7992"/>
      </w:tblGrid>
      <w:tr>
        <w:trPr>
          <w:cantSplit/>
          <w:tblHeader/>
        </w:trPr>
        <w:tc>
          <w:tcPr>
            <w:tcW w:type="dxa" w:w="1800"/>
            <w:vAlign w:val="center"/>
            <w:tcBorders>
              <w:top w:val="single" w:sz="4" w:color="D9D9D9"/>
              <w:left w:val="single" w:sz="4" w:color="D9D9D9"/>
              <w:bottom w:val="single" w:sz="4" w:color="D9D9D9"/>
              <w:right w:val="single" w:sz="4" w:color="D9D9D9"/>
            </w:tcBorders>
            <w:shd w:fill="1F2A44"/>
            <w:tcMar>
              <w:top w:w="85" w:type="dxa"/>
              <w:left w:w="85" w:type="dxa"/>
              <w:bottom w:w="85" w:type="dxa"/>
              <w:right w:w="85" w:type="dxa"/>
            </w:tcMar>
          </w:tcPr>
          <w:p>
            <w:pPr>
              <w:spacing w:after="40" w:line="250" w:lineRule="auto"/>
            </w:pPr>
            <w:r>
              <w:rPr>
                <w:b/>
                <w:color w:val="FFFFFF"/>
                <w:sz w:val="19"/>
              </w:rPr>
              <w:t>Layer</w:t>
            </w:r>
          </w:p>
        </w:tc>
        <w:tc>
          <w:tcPr>
            <w:tcW w:type="dxa" w:w="7992"/>
            <w:vAlign w:val="center"/>
            <w:tcBorders>
              <w:top w:val="single" w:sz="4" w:color="D9D9D9"/>
              <w:left w:val="single" w:sz="4" w:color="D9D9D9"/>
              <w:bottom w:val="single" w:sz="4" w:color="D9D9D9"/>
              <w:right w:val="single" w:sz="4" w:color="D9D9D9"/>
            </w:tcBorders>
            <w:shd w:fill="1F2A44"/>
            <w:tcMar>
              <w:top w:w="85" w:type="dxa"/>
              <w:left w:w="85" w:type="dxa"/>
              <w:bottom w:w="85" w:type="dxa"/>
              <w:right w:w="85" w:type="dxa"/>
            </w:tcMar>
          </w:tcPr>
          <w:p>
            <w:pPr>
              <w:spacing w:after="40" w:line="250" w:lineRule="auto"/>
            </w:pPr>
            <w:r>
              <w:rPr>
                <w:b/>
                <w:color w:val="FFFFFF"/>
                <w:sz w:val="19"/>
              </w:rPr>
              <w:t>Implementation</w:t>
            </w:r>
          </w:p>
        </w:tc>
      </w:tr>
      <w:tr>
        <w:trPr>
          <w:cantSplit/>
        </w:trPr>
        <w:tc>
          <w:tcPr>
            <w:tcW w:type="dxa" w:w="1800"/>
            <w:vAlign w:val="center"/>
            <w:tcBorders>
              <w:top w:val="single" w:sz="4" w:color="D9D9D9"/>
              <w:left w:val="single" w:sz="4" w:color="D9D9D9"/>
              <w:bottom w:val="single" w:sz="4" w:color="D9D9D9"/>
              <w:right w:val="single" w:sz="4" w:color="D9D9D9"/>
            </w:tcBorders>
            <w:shd w:fill="F3F6F8"/>
            <w:tcMar>
              <w:top w:w="85" w:type="dxa"/>
              <w:left w:w="85" w:type="dxa"/>
              <w:bottom w:w="85" w:type="dxa"/>
              <w:right w:w="85" w:type="dxa"/>
            </w:tcMar>
          </w:tcPr>
          <w:p>
            <w:pPr>
              <w:spacing w:after="40" w:line="250" w:lineRule="auto"/>
            </w:pPr>
            <w:r>
              <w:rPr>
                <w:b w:val="0"/>
                <w:color w:val="000000"/>
                <w:sz w:val="19"/>
              </w:rPr>
              <w:t>UI</w:t>
            </w:r>
          </w:p>
        </w:tc>
        <w:tc>
          <w:tcPr>
            <w:tcW w:type="dxa" w:w="7992"/>
            <w:vAlign w:val="center"/>
            <w:tcBorders>
              <w:top w:val="single" w:sz="4" w:color="D9D9D9"/>
              <w:left w:val="single" w:sz="4" w:color="D9D9D9"/>
              <w:bottom w:val="single" w:sz="4" w:color="D9D9D9"/>
              <w:right w:val="single" w:sz="4" w:color="D9D9D9"/>
            </w:tcBorders>
            <w:shd w:fill="F3F6F8"/>
            <w:tcMar>
              <w:top w:w="85" w:type="dxa"/>
              <w:left w:w="85" w:type="dxa"/>
              <w:bottom w:w="85" w:type="dxa"/>
              <w:right w:w="85" w:type="dxa"/>
            </w:tcMar>
          </w:tcPr>
          <w:p>
            <w:pPr>
              <w:spacing w:after="40" w:line="250" w:lineRule="auto"/>
            </w:pPr>
            <w:r>
              <w:rPr>
                <w:b w:val="0"/>
                <w:color w:val="000000"/>
                <w:sz w:val="19"/>
              </w:rPr>
              <w:t>React 19.1.0, React Router 6.30.1, Vite 6.3.5, Tailwind 3.4.17; navy and teal UI</w:t>
            </w:r>
          </w:p>
        </w:tc>
      </w:tr>
      <w:tr>
        <w:trPr>
          <w:cantSplit/>
        </w:trPr>
        <w:tc>
          <w:tcPr>
            <w:tcW w:type="dxa" w:w="1800"/>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50" w:lineRule="auto"/>
            </w:pPr>
            <w:r>
              <w:rPr>
                <w:b w:val="0"/>
                <w:color w:val="000000"/>
                <w:sz w:val="19"/>
              </w:rPr>
              <w:t>API and validation</w:t>
            </w:r>
          </w:p>
        </w:tc>
        <w:tc>
          <w:tcPr>
            <w:tcW w:type="dxa" w:w="7992"/>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50" w:lineRule="auto"/>
            </w:pPr>
            <w:r>
              <w:rPr>
                <w:b w:val="0"/>
                <w:color w:val="000000"/>
                <w:sz w:val="19"/>
              </w:rPr>
              <w:t>Python, FastAPI 0.115.12, Pydantic 2.11.4, Uvicorn 0.34.2</w:t>
            </w:r>
          </w:p>
        </w:tc>
      </w:tr>
      <w:tr>
        <w:trPr>
          <w:cantSplit/>
        </w:trPr>
        <w:tc>
          <w:tcPr>
            <w:tcW w:type="dxa" w:w="1800"/>
            <w:vAlign w:val="center"/>
            <w:tcBorders>
              <w:top w:val="single" w:sz="4" w:color="D9D9D9"/>
              <w:left w:val="single" w:sz="4" w:color="D9D9D9"/>
              <w:bottom w:val="single" w:sz="4" w:color="D9D9D9"/>
              <w:right w:val="single" w:sz="4" w:color="D9D9D9"/>
            </w:tcBorders>
            <w:shd w:fill="F3F6F8"/>
            <w:tcMar>
              <w:top w:w="85" w:type="dxa"/>
              <w:left w:w="85" w:type="dxa"/>
              <w:bottom w:w="85" w:type="dxa"/>
              <w:right w:w="85" w:type="dxa"/>
            </w:tcMar>
          </w:tcPr>
          <w:p>
            <w:pPr>
              <w:spacing w:after="40" w:line="250" w:lineRule="auto"/>
            </w:pPr>
            <w:r>
              <w:rPr>
                <w:b w:val="0"/>
                <w:color w:val="000000"/>
                <w:sz w:val="19"/>
              </w:rPr>
              <w:t>Data</w:t>
            </w:r>
          </w:p>
        </w:tc>
        <w:tc>
          <w:tcPr>
            <w:tcW w:type="dxa" w:w="7992"/>
            <w:vAlign w:val="center"/>
            <w:tcBorders>
              <w:top w:val="single" w:sz="4" w:color="D9D9D9"/>
              <w:left w:val="single" w:sz="4" w:color="D9D9D9"/>
              <w:bottom w:val="single" w:sz="4" w:color="D9D9D9"/>
              <w:right w:val="single" w:sz="4" w:color="D9D9D9"/>
            </w:tcBorders>
            <w:shd w:fill="F3F6F8"/>
            <w:tcMar>
              <w:top w:w="85" w:type="dxa"/>
              <w:left w:w="85" w:type="dxa"/>
              <w:bottom w:w="85" w:type="dxa"/>
              <w:right w:w="85" w:type="dxa"/>
            </w:tcMar>
          </w:tcPr>
          <w:p>
            <w:pPr>
              <w:spacing w:after="40" w:line="250" w:lineRule="auto"/>
            </w:pPr>
            <w:r>
              <w:rPr>
                <w:b w:val="0"/>
                <w:color w:val="000000"/>
                <w:sz w:val="19"/>
              </w:rPr>
              <w:t>SQLAlchemy 2.0.40 and SQLite; content, versions, findings, comments, audit, review cache and AI usage</w:t>
            </w:r>
          </w:p>
        </w:tc>
      </w:tr>
      <w:tr>
        <w:trPr>
          <w:cantSplit/>
        </w:trPr>
        <w:tc>
          <w:tcPr>
            <w:tcW w:type="dxa" w:w="1800"/>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50" w:lineRule="auto"/>
            </w:pPr>
            <w:r>
              <w:rPr>
                <w:b w:val="0"/>
                <w:color w:val="000000"/>
                <w:sz w:val="19"/>
              </w:rPr>
              <w:t>Provider</w:t>
            </w:r>
          </w:p>
        </w:tc>
        <w:tc>
          <w:tcPr>
            <w:tcW w:type="dxa" w:w="7992"/>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50" w:lineRule="auto"/>
            </w:pPr>
            <w:r>
              <w:rPr>
                <w:b w:val="0"/>
                <w:color w:val="000000"/>
                <w:sz w:val="19"/>
              </w:rPr>
              <w:t>HTTPX 0.28.1 POST to api.groq.com/openai/v1/chat/completions; no provider SDK</w:t>
            </w:r>
          </w:p>
        </w:tc>
      </w:tr>
      <w:tr>
        <w:trPr>
          <w:cantSplit/>
        </w:trPr>
        <w:tc>
          <w:tcPr>
            <w:tcW w:type="dxa" w:w="1800"/>
            <w:vAlign w:val="center"/>
            <w:tcBorders>
              <w:top w:val="single" w:sz="4" w:color="D9D9D9"/>
              <w:left w:val="single" w:sz="4" w:color="D9D9D9"/>
              <w:bottom w:val="single" w:sz="4" w:color="D9D9D9"/>
              <w:right w:val="single" w:sz="4" w:color="D9D9D9"/>
            </w:tcBorders>
            <w:shd w:fill="F3F6F8"/>
            <w:tcMar>
              <w:top w:w="85" w:type="dxa"/>
              <w:left w:w="85" w:type="dxa"/>
              <w:bottom w:w="85" w:type="dxa"/>
              <w:right w:w="85" w:type="dxa"/>
            </w:tcMar>
          </w:tcPr>
          <w:p>
            <w:pPr>
              <w:spacing w:after="40" w:line="250" w:lineRule="auto"/>
            </w:pPr>
            <w:r>
              <w:rPr>
                <w:b w:val="0"/>
                <w:color w:val="000000"/>
                <w:sz w:val="19"/>
              </w:rPr>
              <w:t>Model chain</w:t>
            </w:r>
          </w:p>
        </w:tc>
        <w:tc>
          <w:tcPr>
            <w:tcW w:type="dxa" w:w="7992"/>
            <w:vAlign w:val="center"/>
            <w:tcBorders>
              <w:top w:val="single" w:sz="4" w:color="D9D9D9"/>
              <w:left w:val="single" w:sz="4" w:color="D9D9D9"/>
              <w:bottom w:val="single" w:sz="4" w:color="D9D9D9"/>
              <w:right w:val="single" w:sz="4" w:color="D9D9D9"/>
            </w:tcBorders>
            <w:shd w:fill="F3F6F8"/>
            <w:tcMar>
              <w:top w:w="85" w:type="dxa"/>
              <w:left w:w="85" w:type="dxa"/>
              <w:bottom w:w="85" w:type="dxa"/>
              <w:right w:w="85" w:type="dxa"/>
            </w:tcMar>
          </w:tcPr>
          <w:p>
            <w:pPr>
              <w:spacing w:after="40" w:line="250" w:lineRule="auto"/>
            </w:pPr>
            <w:r>
              <w:rPr>
                <w:b w:val="0"/>
                <w:color w:val="000000"/>
                <w:sz w:val="19"/>
              </w:rPr>
              <w:t>openai/gpt-oss-120b -&gt; openai/gpt-oss-20b -&gt; qwen/qwen3.8-27b -&gt; rules only</w:t>
            </w:r>
          </w:p>
        </w:tc>
      </w:tr>
      <w:tr>
        <w:trPr>
          <w:cantSplit/>
        </w:trPr>
        <w:tc>
          <w:tcPr>
            <w:tcW w:type="dxa" w:w="1800"/>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50" w:lineRule="auto"/>
            </w:pPr>
            <w:r>
              <w:rPr>
                <w:b w:val="0"/>
                <w:color w:val="000000"/>
                <w:sz w:val="19"/>
              </w:rPr>
              <w:t>Deployment</w:t>
            </w:r>
          </w:p>
        </w:tc>
        <w:tc>
          <w:tcPr>
            <w:tcW w:type="dxa" w:w="7992"/>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50" w:lineRule="auto"/>
            </w:pPr>
            <w:r>
              <w:rPr>
                <w:b w:val="0"/>
                <w:color w:val="000000"/>
                <w:sz w:val="19"/>
              </w:rPr>
              <w:t>One Render Python service; committed static React assets; health route /api/health</w:t>
            </w:r>
          </w:p>
        </w:tc>
      </w:tr>
    </w:tbl>
    <w:p>
      <w:pPr>
        <w:spacing w:after="0"/>
      </w:pPr>
    </w:p>
    <w:p>
      <w:pPr>
        <w:pStyle w:val="Heading2"/>
      </w:pPr>
      <w:r>
        <w:t>API and workflow</w:t>
      </w:r>
    </w:p>
    <w:p>
      <w:r>
        <w:t>The /api routes provide knowledge and samples; content creation and reads; review; finding decisions; fix application and versions/diff; submit, approve, return and reviewer-signoff; comments/audit; AI status; and Admin knowledge/reset actions. X-Role selects the simulated role. State-changing operations write audit entries. Approval is an internal state and does not publish externally.</w:t>
      </w:r>
    </w:p>
    <w:p>
      <w:r>
        <w:t>The primary model was verified live during the submission check; the fallback appeared in the original saved run. The configured third model remains not verified live: one minimal JSON-mode call on 22 October 2026 returned HTTP 403, model_permission_blocked_org, because the organization blocks it. No retry or app-code change was made.</w:t>
      </w:r>
    </w:p>
    <w:p>
      <w:r>
        <w:br w:type="page"/>
      </w:r>
    </w:p>
    <w:p>
      <w:pPr>
        <w:pStyle w:val="Heading1"/>
      </w:pPr>
      <w:r>
        <w:t>Technical decisions and difficult parts</w:t>
      </w:r>
    </w:p>
    <w:p>
      <w:pPr>
        <w:pStyle w:val="Heading2"/>
      </w:pPr>
      <w:r>
        <w:t>Grounding and human control</w:t>
      </w:r>
    </w:p>
    <w:p>
      <w:r>
        <w:t>Rules read KB metadata rather than branching on policy codes. The validator maps quotes to actual draft offsets, removes unmatched quotes, nulls invented sources and restricts unsupported findings. Overlap merging preserves the higher-severity issue, supporting codes and Reviewer risk. It does not prove semantic truth merely because a code exists.</w:t>
      </w:r>
    </w:p>
    <w:p>
      <w:r>
        <w:t>Suggested replacement phrases are rechecked for content violations; whole-draft channel disclosure is checked on mandatory re-review. Accepted and edited spans apply from right to left, so offsets stay valid. Nothing is automatically applied, and unapplied decisions cannot be submitted as though they changed the text.</w:t>
      </w:r>
    </w:p>
    <w:p>
      <w:pPr>
        <w:pStyle w:val="Heading2"/>
      </w:pPr>
      <w:r>
        <w:t>Provider reliability and caching</w:t>
      </w:r>
    </w:p>
    <w:p>
      <w:r>
        <w:t>One logical AI analysis can make retries/fallback requests. The client uses a 30-second per-request timeout, JSON output, low temperature and a 2,500 completion-token cap. GPT-OSS uses low reasoning effort, retried once without that field after 400. Short Retry-After is honoured; errors fall through to rules-only results.</w:t>
      </w:r>
    </w:p>
    <w:p>
      <w:r>
        <w:t>Per-model minute usage is in memory and daily usage is in SQLite; local skip thresholds are 6,400 minute tokens and 180,000 daily tokens. SHA-256 cache keys include normalized text, channel, KB hash and AI flag. Precomputed samples preserve genuine model/time provenance. These are single-process controls and do not see other clients using the provider key.</w:t>
      </w:r>
    </w:p>
    <w:p>
      <w:pPr>
        <w:pStyle w:val="Heading2"/>
      </w:pPr>
      <w:r>
        <w:t>Libraries datasets and licences</w:t>
      </w:r>
    </w:p>
    <w:tbl>
      <w:tblPr>
        <w:tblW w:type="auto" w:w="0"/>
        <w:jc w:val="center"/>
        <w:tblLayout w:type="fixed"/>
        <w:tblLook w:firstColumn="1" w:firstRow="1" w:lastColumn="0" w:lastRow="0" w:noHBand="0" w:noVBand="1" w:val="04A0"/>
      </w:tblPr>
      <w:tblGrid>
        <w:gridCol w:w="4392"/>
        <w:gridCol w:w="5400"/>
      </w:tblGrid>
      <w:tr>
        <w:trPr>
          <w:cantSplit/>
          <w:tblHeader/>
        </w:trPr>
        <w:tc>
          <w:tcPr>
            <w:tcW w:type="dxa" w:w="4392"/>
            <w:vAlign w:val="center"/>
            <w:tcBorders>
              <w:top w:val="single" w:sz="4" w:color="D9D9D9"/>
              <w:left w:val="single" w:sz="4" w:color="D9D9D9"/>
              <w:bottom w:val="single" w:sz="4" w:color="D9D9D9"/>
              <w:right w:val="single" w:sz="4" w:color="D9D9D9"/>
            </w:tcBorders>
            <w:shd w:fill="1F2A44"/>
            <w:tcMar>
              <w:top w:w="85" w:type="dxa"/>
              <w:left w:w="85" w:type="dxa"/>
              <w:bottom w:w="85" w:type="dxa"/>
              <w:right w:w="85" w:type="dxa"/>
            </w:tcMar>
          </w:tcPr>
          <w:p>
            <w:pPr>
              <w:spacing w:after="40" w:line="250" w:lineRule="auto"/>
            </w:pPr>
            <w:r>
              <w:rPr>
                <w:b/>
                <w:color w:val="FFFFFF"/>
                <w:sz w:val="19"/>
              </w:rPr>
              <w:t>Component</w:t>
            </w:r>
          </w:p>
        </w:tc>
        <w:tc>
          <w:tcPr>
            <w:tcW w:type="dxa" w:w="5400"/>
            <w:vAlign w:val="center"/>
            <w:tcBorders>
              <w:top w:val="single" w:sz="4" w:color="D9D9D9"/>
              <w:left w:val="single" w:sz="4" w:color="D9D9D9"/>
              <w:bottom w:val="single" w:sz="4" w:color="D9D9D9"/>
              <w:right w:val="single" w:sz="4" w:color="D9D9D9"/>
            </w:tcBorders>
            <w:shd w:fill="1F2A44"/>
            <w:tcMar>
              <w:top w:w="85" w:type="dxa"/>
              <w:left w:w="85" w:type="dxa"/>
              <w:bottom w:w="85" w:type="dxa"/>
              <w:right w:w="85" w:type="dxa"/>
            </w:tcMar>
          </w:tcPr>
          <w:p>
            <w:pPr>
              <w:spacing w:after="40" w:line="250" w:lineRule="auto"/>
            </w:pPr>
            <w:r>
              <w:rPr>
                <w:b/>
                <w:color w:val="FFFFFF"/>
                <w:sz w:val="19"/>
              </w:rPr>
              <w:t>Declared licence or provenance</w:t>
            </w:r>
          </w:p>
        </w:tc>
      </w:tr>
      <w:tr>
        <w:trPr>
          <w:cantSplit/>
        </w:trPr>
        <w:tc>
          <w:tcPr>
            <w:tcW w:type="dxa" w:w="4392"/>
            <w:vAlign w:val="center"/>
            <w:tcBorders>
              <w:top w:val="single" w:sz="4" w:color="D9D9D9"/>
              <w:left w:val="single" w:sz="4" w:color="D9D9D9"/>
              <w:bottom w:val="single" w:sz="4" w:color="D9D9D9"/>
              <w:right w:val="single" w:sz="4" w:color="D9D9D9"/>
            </w:tcBorders>
            <w:shd w:fill="F3F6F8"/>
            <w:tcMar>
              <w:top w:w="85" w:type="dxa"/>
              <w:left w:w="85" w:type="dxa"/>
              <w:bottom w:w="85" w:type="dxa"/>
              <w:right w:w="85" w:type="dxa"/>
            </w:tcMar>
          </w:tcPr>
          <w:p>
            <w:pPr>
              <w:spacing w:after="40" w:line="250" w:lineRule="auto"/>
            </w:pPr>
            <w:r>
              <w:rPr>
                <w:b w:val="0"/>
                <w:color w:val="000000"/>
                <w:sz w:val="19"/>
              </w:rPr>
              <w:t>React, React Router, Vite, Tailwind, PostCSS, Autoprefixer</w:t>
            </w:r>
          </w:p>
        </w:tc>
        <w:tc>
          <w:tcPr>
            <w:tcW w:type="dxa" w:w="5400"/>
            <w:vAlign w:val="center"/>
            <w:tcBorders>
              <w:top w:val="single" w:sz="4" w:color="D9D9D9"/>
              <w:left w:val="single" w:sz="4" w:color="D9D9D9"/>
              <w:bottom w:val="single" w:sz="4" w:color="D9D9D9"/>
              <w:right w:val="single" w:sz="4" w:color="D9D9D9"/>
            </w:tcBorders>
            <w:shd w:fill="F3F6F8"/>
            <w:tcMar>
              <w:top w:w="85" w:type="dxa"/>
              <w:left w:w="85" w:type="dxa"/>
              <w:bottom w:w="85" w:type="dxa"/>
              <w:right w:w="85" w:type="dxa"/>
            </w:tcMar>
          </w:tcPr>
          <w:p>
            <w:pPr>
              <w:spacing w:after="40" w:line="250" w:lineRule="auto"/>
            </w:pPr>
            <w:r>
              <w:rPr>
                <w:b w:val="0"/>
                <w:color w:val="000000"/>
                <w:sz w:val="19"/>
              </w:rPr>
              <w:t>MIT</w:t>
            </w:r>
          </w:p>
        </w:tc>
      </w:tr>
      <w:tr>
        <w:trPr>
          <w:cantSplit/>
        </w:trPr>
        <w:tc>
          <w:tcPr>
            <w:tcW w:type="dxa" w:w="4392"/>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50" w:lineRule="auto"/>
            </w:pPr>
            <w:r>
              <w:rPr>
                <w:b w:val="0"/>
                <w:color w:val="000000"/>
                <w:sz w:val="19"/>
              </w:rPr>
              <w:t>FastAPI, Pydantic, SQLAlchemy, pytest</w:t>
            </w:r>
          </w:p>
        </w:tc>
        <w:tc>
          <w:tcPr>
            <w:tcW w:type="dxa" w:w="5400"/>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50" w:lineRule="auto"/>
            </w:pPr>
            <w:r>
              <w:rPr>
                <w:b w:val="0"/>
                <w:color w:val="000000"/>
                <w:sz w:val="19"/>
              </w:rPr>
              <w:t>MIT</w:t>
            </w:r>
          </w:p>
        </w:tc>
      </w:tr>
      <w:tr>
        <w:trPr>
          <w:cantSplit/>
        </w:trPr>
        <w:tc>
          <w:tcPr>
            <w:tcW w:type="dxa" w:w="4392"/>
            <w:vAlign w:val="center"/>
            <w:tcBorders>
              <w:top w:val="single" w:sz="4" w:color="D9D9D9"/>
              <w:left w:val="single" w:sz="4" w:color="D9D9D9"/>
              <w:bottom w:val="single" w:sz="4" w:color="D9D9D9"/>
              <w:right w:val="single" w:sz="4" w:color="D9D9D9"/>
            </w:tcBorders>
            <w:shd w:fill="F3F6F8"/>
            <w:tcMar>
              <w:top w:w="85" w:type="dxa"/>
              <w:left w:w="85" w:type="dxa"/>
              <w:bottom w:w="85" w:type="dxa"/>
              <w:right w:w="85" w:type="dxa"/>
            </w:tcMar>
          </w:tcPr>
          <w:p>
            <w:pPr>
              <w:spacing w:after="40" w:line="250" w:lineRule="auto"/>
            </w:pPr>
            <w:r>
              <w:rPr>
                <w:b w:val="0"/>
                <w:color w:val="000000"/>
                <w:sz w:val="19"/>
              </w:rPr>
              <w:t>Uvicorn, HTTPX, python-dotenv</w:t>
            </w:r>
          </w:p>
        </w:tc>
        <w:tc>
          <w:tcPr>
            <w:tcW w:type="dxa" w:w="5400"/>
            <w:vAlign w:val="center"/>
            <w:tcBorders>
              <w:top w:val="single" w:sz="4" w:color="D9D9D9"/>
              <w:left w:val="single" w:sz="4" w:color="D9D9D9"/>
              <w:bottom w:val="single" w:sz="4" w:color="D9D9D9"/>
              <w:right w:val="single" w:sz="4" w:color="D9D9D9"/>
            </w:tcBorders>
            <w:shd w:fill="F3F6F8"/>
            <w:tcMar>
              <w:top w:w="85" w:type="dxa"/>
              <w:left w:w="85" w:type="dxa"/>
              <w:bottom w:w="85" w:type="dxa"/>
              <w:right w:w="85" w:type="dxa"/>
            </w:tcMar>
          </w:tcPr>
          <w:p>
            <w:pPr>
              <w:spacing w:after="40" w:line="250" w:lineRule="auto"/>
            </w:pPr>
            <w:r>
              <w:rPr>
                <w:b w:val="0"/>
                <w:color w:val="000000"/>
                <w:sz w:val="19"/>
              </w:rPr>
              <w:t>BSD family; see exact package declarations in inventory</w:t>
            </w:r>
          </w:p>
        </w:tc>
      </w:tr>
      <w:tr>
        <w:trPr>
          <w:cantSplit/>
        </w:trPr>
        <w:tc>
          <w:tcPr>
            <w:tcW w:type="dxa" w:w="4392"/>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50" w:lineRule="auto"/>
            </w:pPr>
            <w:r>
              <w:rPr>
                <w:b w:val="0"/>
                <w:color w:val="000000"/>
                <w:sz w:val="19"/>
              </w:rPr>
              <w:t>Lucide icons</w:t>
            </w:r>
          </w:p>
        </w:tc>
        <w:tc>
          <w:tcPr>
            <w:tcW w:type="dxa" w:w="5400"/>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50" w:lineRule="auto"/>
            </w:pPr>
            <w:r>
              <w:rPr>
                <w:b w:val="0"/>
                <w:color w:val="000000"/>
                <w:sz w:val="19"/>
              </w:rPr>
              <w:t>ISC</w:t>
            </w:r>
          </w:p>
        </w:tc>
      </w:tr>
      <w:tr>
        <w:trPr>
          <w:cantSplit/>
        </w:trPr>
        <w:tc>
          <w:tcPr>
            <w:tcW w:type="dxa" w:w="4392"/>
            <w:vAlign w:val="center"/>
            <w:tcBorders>
              <w:top w:val="single" w:sz="4" w:color="D9D9D9"/>
              <w:left w:val="single" w:sz="4" w:color="D9D9D9"/>
              <w:bottom w:val="single" w:sz="4" w:color="D9D9D9"/>
              <w:right w:val="single" w:sz="4" w:color="D9D9D9"/>
            </w:tcBorders>
            <w:shd w:fill="F3F6F8"/>
            <w:tcMar>
              <w:top w:w="85" w:type="dxa"/>
              <w:left w:w="85" w:type="dxa"/>
              <w:bottom w:w="85" w:type="dxa"/>
              <w:right w:w="85" w:type="dxa"/>
            </w:tcMar>
          </w:tcPr>
          <w:p>
            <w:pPr>
              <w:spacing w:after="40" w:line="250" w:lineRule="auto"/>
            </w:pPr>
            <w:r>
              <w:rPr>
                <w:b w:val="0"/>
                <w:color w:val="000000"/>
                <w:sz w:val="19"/>
              </w:rPr>
              <w:t>Prettier development formatter</w:t>
            </w:r>
          </w:p>
        </w:tc>
        <w:tc>
          <w:tcPr>
            <w:tcW w:type="dxa" w:w="5400"/>
            <w:vAlign w:val="center"/>
            <w:tcBorders>
              <w:top w:val="single" w:sz="4" w:color="D9D9D9"/>
              <w:left w:val="single" w:sz="4" w:color="D9D9D9"/>
              <w:bottom w:val="single" w:sz="4" w:color="D9D9D9"/>
              <w:right w:val="single" w:sz="4" w:color="D9D9D9"/>
            </w:tcBorders>
            <w:shd w:fill="F3F6F8"/>
            <w:tcMar>
              <w:top w:w="85" w:type="dxa"/>
              <w:left w:w="85" w:type="dxa"/>
              <w:bottom w:w="85" w:type="dxa"/>
              <w:right w:w="85" w:type="dxa"/>
            </w:tcMar>
          </w:tcPr>
          <w:p>
            <w:pPr>
              <w:spacing w:after="40" w:line="250" w:lineRule="auto"/>
            </w:pPr>
            <w:r>
              <w:rPr>
                <w:b w:val="0"/>
                <w:color w:val="000000"/>
                <w:sz w:val="19"/>
              </w:rPr>
              <w:t>MIT</w:t>
            </w:r>
          </w:p>
        </w:tc>
      </w:tr>
      <w:tr>
        <w:trPr>
          <w:cantSplit/>
        </w:trPr>
        <w:tc>
          <w:tcPr>
            <w:tcW w:type="dxa" w:w="4392"/>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50" w:lineRule="auto"/>
            </w:pPr>
            <w:r>
              <w:rPr>
                <w:b w:val="0"/>
                <w:color w:val="000000"/>
                <w:sz w:val="19"/>
              </w:rPr>
              <w:t>Acme Hydrate knowledge and 11 samples</w:t>
            </w:r>
          </w:p>
        </w:tc>
        <w:tc>
          <w:tcPr>
            <w:tcW w:type="dxa" w:w="5400"/>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50" w:lineRule="auto"/>
            </w:pPr>
            <w:r>
              <w:rPr>
                <w:b w:val="0"/>
                <w:color w:val="000000"/>
                <w:sz w:val="19"/>
              </w:rPr>
              <w:t>Fictional data supplied in the team build brief; no outside training dataset or fine-tuning</w:t>
            </w:r>
          </w:p>
        </w:tc>
      </w:tr>
      <w:tr>
        <w:trPr>
          <w:cantSplit/>
        </w:trPr>
        <w:tc>
          <w:tcPr>
            <w:tcW w:type="dxa" w:w="4392"/>
            <w:vAlign w:val="center"/>
            <w:tcBorders>
              <w:top w:val="single" w:sz="4" w:color="D9D9D9"/>
              <w:left w:val="single" w:sz="4" w:color="D9D9D9"/>
              <w:bottom w:val="single" w:sz="4" w:color="D9D9D9"/>
              <w:right w:val="single" w:sz="4" w:color="D9D9D9"/>
            </w:tcBorders>
            <w:shd w:fill="F3F6F8"/>
            <w:tcMar>
              <w:top w:w="85" w:type="dxa"/>
              <w:left w:w="85" w:type="dxa"/>
              <w:bottom w:w="85" w:type="dxa"/>
              <w:right w:w="85" w:type="dxa"/>
            </w:tcMar>
          </w:tcPr>
          <w:p>
            <w:pPr>
              <w:spacing w:after="40" w:line="250" w:lineRule="auto"/>
            </w:pPr>
            <w:r>
              <w:rPr>
                <w:b w:val="0"/>
                <w:color w:val="000000"/>
                <w:sz w:val="19"/>
              </w:rPr>
              <w:t>Hosted Groq models</w:t>
            </w:r>
          </w:p>
        </w:tc>
        <w:tc>
          <w:tcPr>
            <w:tcW w:type="dxa" w:w="5400"/>
            <w:vAlign w:val="center"/>
            <w:tcBorders>
              <w:top w:val="single" w:sz="4" w:color="D9D9D9"/>
              <w:left w:val="single" w:sz="4" w:color="D9D9D9"/>
              <w:bottom w:val="single" w:sz="4" w:color="D9D9D9"/>
              <w:right w:val="single" w:sz="4" w:color="D9D9D9"/>
            </w:tcBorders>
            <w:shd w:fill="F3F6F8"/>
            <w:tcMar>
              <w:top w:w="85" w:type="dxa"/>
              <w:left w:w="85" w:type="dxa"/>
              <w:bottom w:w="85" w:type="dxa"/>
              <w:right w:w="85" w:type="dxa"/>
            </w:tcMar>
          </w:tcPr>
          <w:p>
            <w:pPr>
              <w:spacing w:after="40" w:line="250" w:lineRule="auto"/>
            </w:pPr>
            <w:r>
              <w:rPr>
                <w:b w:val="0"/>
                <w:color w:val="000000"/>
                <w:sz w:val="19"/>
              </w:rPr>
              <w:t>Provider/model terms apply separately; configured names do not promise availability</w:t>
            </w:r>
          </w:p>
        </w:tc>
      </w:tr>
    </w:tbl>
    <w:p>
      <w:pPr>
        <w:spacing w:after="0"/>
      </w:pPr>
    </w:p>
    <w:p>
      <w:r>
        <w:t>Full direct/transitive package names, versions and declared licences are committed in docs/THIRD_PARTY_LICENSES.md. No external website template was copied in this build.</w:t>
      </w:r>
    </w:p>
    <w:p>
      <w:r>
        <w:br w:type="page"/>
      </w:r>
    </w:p>
    <w:p>
      <w:pPr>
        <w:pStyle w:val="Heading1"/>
      </w:pPr>
      <w:r>
        <w:t>Reliability results and known issues</w:t>
      </w:r>
    </w:p>
    <w:tbl>
      <w:tblPr>
        <w:tblW w:type="auto" w:w="0"/>
        <w:jc w:val="center"/>
        <w:tblLayout w:type="fixed"/>
        <w:tblLook w:firstColumn="1" w:firstRow="1" w:lastColumn="0" w:lastRow="0" w:noHBand="0" w:noVBand="1" w:val="04A0"/>
      </w:tblPr>
      <w:tblGrid>
        <w:gridCol w:w="2376"/>
        <w:gridCol w:w="2952"/>
        <w:gridCol w:w="4464"/>
      </w:tblGrid>
      <w:tr>
        <w:trPr>
          <w:cantSplit/>
          <w:tblHeader/>
        </w:trPr>
        <w:tc>
          <w:tcPr>
            <w:tcW w:type="dxa" w:w="2376"/>
            <w:vAlign w:val="center"/>
            <w:tcBorders>
              <w:top w:val="single" w:sz="4" w:color="D9D9D9"/>
              <w:left w:val="single" w:sz="4" w:color="D9D9D9"/>
              <w:bottom w:val="single" w:sz="4" w:color="D9D9D9"/>
              <w:right w:val="single" w:sz="4" w:color="D9D9D9"/>
            </w:tcBorders>
            <w:shd w:fill="1F2A44"/>
            <w:tcMar>
              <w:top w:w="85" w:type="dxa"/>
              <w:left w:w="85" w:type="dxa"/>
              <w:bottom w:w="85" w:type="dxa"/>
              <w:right w:w="85" w:type="dxa"/>
            </w:tcMar>
          </w:tcPr>
          <w:p>
            <w:pPr>
              <w:spacing w:after="40" w:line="250" w:lineRule="auto"/>
            </w:pPr>
            <w:r>
              <w:rPr>
                <w:b/>
                <w:color w:val="FFFFFF"/>
                <w:sz w:val="19"/>
              </w:rPr>
              <w:t>Observed check</w:t>
            </w:r>
          </w:p>
        </w:tc>
        <w:tc>
          <w:tcPr>
            <w:tcW w:type="dxa" w:w="2952"/>
            <w:vAlign w:val="center"/>
            <w:tcBorders>
              <w:top w:val="single" w:sz="4" w:color="D9D9D9"/>
              <w:left w:val="single" w:sz="4" w:color="D9D9D9"/>
              <w:bottom w:val="single" w:sz="4" w:color="D9D9D9"/>
              <w:right w:val="single" w:sz="4" w:color="D9D9D9"/>
            </w:tcBorders>
            <w:shd w:fill="1F2A44"/>
            <w:tcMar>
              <w:top w:w="85" w:type="dxa"/>
              <w:left w:w="85" w:type="dxa"/>
              <w:bottom w:w="85" w:type="dxa"/>
              <w:right w:w="85" w:type="dxa"/>
            </w:tcMar>
          </w:tcPr>
          <w:p>
            <w:pPr>
              <w:spacing w:after="40" w:line="250" w:lineRule="auto"/>
            </w:pPr>
            <w:r>
              <w:rPr>
                <w:b/>
                <w:color w:val="FFFFFF"/>
                <w:sz w:val="19"/>
              </w:rPr>
              <w:t>Result</w:t>
            </w:r>
          </w:p>
        </w:tc>
        <w:tc>
          <w:tcPr>
            <w:tcW w:type="dxa" w:w="4464"/>
            <w:vAlign w:val="center"/>
            <w:tcBorders>
              <w:top w:val="single" w:sz="4" w:color="D9D9D9"/>
              <w:left w:val="single" w:sz="4" w:color="D9D9D9"/>
              <w:bottom w:val="single" w:sz="4" w:color="D9D9D9"/>
              <w:right w:val="single" w:sz="4" w:color="D9D9D9"/>
            </w:tcBorders>
            <w:shd w:fill="1F2A44"/>
            <w:tcMar>
              <w:top w:w="85" w:type="dxa"/>
              <w:left w:w="85" w:type="dxa"/>
              <w:bottom w:w="85" w:type="dxa"/>
              <w:right w:w="85" w:type="dxa"/>
            </w:tcMar>
          </w:tcPr>
          <w:p>
            <w:pPr>
              <w:spacing w:after="40" w:line="250" w:lineRule="auto"/>
            </w:pPr>
            <w:r>
              <w:rPr>
                <w:b/>
                <w:color w:val="FFFFFF"/>
                <w:sz w:val="19"/>
              </w:rPr>
              <w:t>Scope</w:t>
            </w:r>
          </w:p>
        </w:tc>
      </w:tr>
      <w:tr>
        <w:trPr>
          <w:cantSplit/>
        </w:trPr>
        <w:tc>
          <w:tcPr>
            <w:tcW w:type="dxa" w:w="2376"/>
            <w:vAlign w:val="center"/>
            <w:tcBorders>
              <w:top w:val="single" w:sz="4" w:color="D9D9D9"/>
              <w:left w:val="single" w:sz="4" w:color="D9D9D9"/>
              <w:bottom w:val="single" w:sz="4" w:color="D9D9D9"/>
              <w:right w:val="single" w:sz="4" w:color="D9D9D9"/>
            </w:tcBorders>
            <w:shd w:fill="F3F6F8"/>
            <w:tcMar>
              <w:top w:w="85" w:type="dxa"/>
              <w:left w:w="85" w:type="dxa"/>
              <w:bottom w:w="85" w:type="dxa"/>
              <w:right w:w="85" w:type="dxa"/>
            </w:tcMar>
          </w:tcPr>
          <w:p>
            <w:pPr>
              <w:spacing w:after="40" w:line="250" w:lineRule="auto"/>
            </w:pPr>
            <w:r>
              <w:rPr>
                <w:b w:val="0"/>
                <w:color w:val="000000"/>
                <w:sz w:val="19"/>
              </w:rPr>
              <w:t>pytest rerun</w:t>
            </w:r>
          </w:p>
        </w:tc>
        <w:tc>
          <w:tcPr>
            <w:tcW w:type="dxa" w:w="2952"/>
            <w:vAlign w:val="center"/>
            <w:tcBorders>
              <w:top w:val="single" w:sz="4" w:color="D9D9D9"/>
              <w:left w:val="single" w:sz="4" w:color="D9D9D9"/>
              <w:bottom w:val="single" w:sz="4" w:color="D9D9D9"/>
              <w:right w:val="single" w:sz="4" w:color="D9D9D9"/>
            </w:tcBorders>
            <w:shd w:fill="F3F6F8"/>
            <w:tcMar>
              <w:top w:w="85" w:type="dxa"/>
              <w:left w:w="85" w:type="dxa"/>
              <w:bottom w:w="85" w:type="dxa"/>
              <w:right w:w="85" w:type="dxa"/>
            </w:tcMar>
          </w:tcPr>
          <w:p>
            <w:pPr>
              <w:spacing w:after="40" w:line="250" w:lineRule="auto"/>
            </w:pPr>
            <w:r>
              <w:rPr>
                <w:b w:val="0"/>
                <w:color w:val="000000"/>
                <w:sz w:val="19"/>
              </w:rPr>
              <w:t>44 passed, 1 warning</w:t>
            </w:r>
          </w:p>
        </w:tc>
        <w:tc>
          <w:tcPr>
            <w:tcW w:type="dxa" w:w="4464"/>
            <w:vAlign w:val="center"/>
            <w:tcBorders>
              <w:top w:val="single" w:sz="4" w:color="D9D9D9"/>
              <w:left w:val="single" w:sz="4" w:color="D9D9D9"/>
              <w:bottom w:val="single" w:sz="4" w:color="D9D9D9"/>
              <w:right w:val="single" w:sz="4" w:color="D9D9D9"/>
            </w:tcBorders>
            <w:shd w:fill="F3F6F8"/>
            <w:tcMar>
              <w:top w:w="85" w:type="dxa"/>
              <w:left w:w="85" w:type="dxa"/>
              <w:bottom w:w="85" w:type="dxa"/>
              <w:right w:w="85" w:type="dxa"/>
            </w:tcMar>
          </w:tcPr>
          <w:p>
            <w:pPr>
              <w:spacing w:after="40" w:line="250" w:lineRule="auto"/>
            </w:pPr>
            <w:r>
              <w:rPr>
                <w:b w:val="0"/>
                <w:color w:val="000000"/>
                <w:sz w:val="19"/>
              </w:rPr>
              <w:t>Offline rules, validator, workflow and provider mocks</w:t>
            </w:r>
          </w:p>
        </w:tc>
      </w:tr>
      <w:tr>
        <w:trPr>
          <w:cantSplit/>
        </w:trPr>
        <w:tc>
          <w:tcPr>
            <w:tcW w:type="dxa" w:w="2376"/>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50" w:lineRule="auto"/>
            </w:pPr>
            <w:r>
              <w:rPr>
                <w:b w:val="0"/>
                <w:color w:val="000000"/>
                <w:sz w:val="19"/>
              </w:rPr>
              <w:t>Rules sample rerun</w:t>
            </w:r>
          </w:p>
        </w:tc>
        <w:tc>
          <w:tcPr>
            <w:tcW w:type="dxa" w:w="2952"/>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50" w:lineRule="auto"/>
            </w:pPr>
            <w:r>
              <w:rPr>
                <w:b w:val="0"/>
                <w:color w:val="000000"/>
                <w:sz w:val="19"/>
              </w:rPr>
              <w:t>17 / 17 expected code occurrences</w:t>
            </w:r>
          </w:p>
        </w:tc>
        <w:tc>
          <w:tcPr>
            <w:tcW w:type="dxa" w:w="4464"/>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50" w:lineRule="auto"/>
            </w:pPr>
            <w:r>
              <w:rPr>
                <w:b w:val="0"/>
                <w:color w:val="000000"/>
                <w:sz w:val="19"/>
              </w:rPr>
              <w:t>Our own 11 drafts; clean sample 2 has zero findings</w:t>
            </w:r>
          </w:p>
        </w:tc>
      </w:tr>
      <w:tr>
        <w:trPr>
          <w:cantSplit/>
        </w:trPr>
        <w:tc>
          <w:tcPr>
            <w:tcW w:type="dxa" w:w="2376"/>
            <w:vAlign w:val="center"/>
            <w:tcBorders>
              <w:top w:val="single" w:sz="4" w:color="D9D9D9"/>
              <w:left w:val="single" w:sz="4" w:color="D9D9D9"/>
              <w:bottom w:val="single" w:sz="4" w:color="D9D9D9"/>
              <w:right w:val="single" w:sz="4" w:color="D9D9D9"/>
            </w:tcBorders>
            <w:shd w:fill="F3F6F8"/>
            <w:tcMar>
              <w:top w:w="85" w:type="dxa"/>
              <w:left w:w="85" w:type="dxa"/>
              <w:bottom w:w="85" w:type="dxa"/>
              <w:right w:w="85" w:type="dxa"/>
            </w:tcMar>
          </w:tcPr>
          <w:p>
            <w:pPr>
              <w:spacing w:after="40" w:line="250" w:lineRule="auto"/>
            </w:pPr>
            <w:r>
              <w:rPr>
                <w:b w:val="0"/>
                <w:color w:val="000000"/>
                <w:sz w:val="19"/>
              </w:rPr>
              <w:t>AI sample rerun</w:t>
            </w:r>
          </w:p>
        </w:tc>
        <w:tc>
          <w:tcPr>
            <w:tcW w:type="dxa" w:w="2952"/>
            <w:vAlign w:val="center"/>
            <w:tcBorders>
              <w:top w:val="single" w:sz="4" w:color="D9D9D9"/>
              <w:left w:val="single" w:sz="4" w:color="D9D9D9"/>
              <w:bottom w:val="single" w:sz="4" w:color="D9D9D9"/>
              <w:right w:val="single" w:sz="4" w:color="D9D9D9"/>
            </w:tcBorders>
            <w:shd w:fill="F3F6F8"/>
            <w:tcMar>
              <w:top w:w="85" w:type="dxa"/>
              <w:left w:w="85" w:type="dxa"/>
              <w:bottom w:w="85" w:type="dxa"/>
              <w:right w:w="85" w:type="dxa"/>
            </w:tcMar>
          </w:tcPr>
          <w:p>
            <w:pPr>
              <w:spacing w:after="40" w:line="250" w:lineRule="auto"/>
            </w:pPr>
            <w:r>
              <w:rPr>
                <w:b w:val="0"/>
                <w:color w:val="000000"/>
                <w:sz w:val="19"/>
              </w:rPr>
              <w:t>17 / 17 expected code occurrences</w:t>
            </w:r>
          </w:p>
        </w:tc>
        <w:tc>
          <w:tcPr>
            <w:tcW w:type="dxa" w:w="4464"/>
            <w:vAlign w:val="center"/>
            <w:tcBorders>
              <w:top w:val="single" w:sz="4" w:color="D9D9D9"/>
              <w:left w:val="single" w:sz="4" w:color="D9D9D9"/>
              <w:bottom w:val="single" w:sz="4" w:color="D9D9D9"/>
              <w:right w:val="single" w:sz="4" w:color="D9D9D9"/>
            </w:tcBorders>
            <w:shd w:fill="F3F6F8"/>
            <w:tcMar>
              <w:top w:w="85" w:type="dxa"/>
              <w:left w:w="85" w:type="dxa"/>
              <w:bottom w:w="85" w:type="dxa"/>
              <w:right w:w="85" w:type="dxa"/>
            </w:tcMar>
          </w:tcPr>
          <w:p>
            <w:pPr>
              <w:spacing w:after="40" w:line="250" w:lineRule="auto"/>
            </w:pPr>
            <w:r>
              <w:rPr>
                <w:b w:val="0"/>
                <w:color w:val="000000"/>
                <w:sz w:val="19"/>
              </w:rPr>
              <w:t>All entries are cached saved responses, revalidated</w:t>
            </w:r>
          </w:p>
        </w:tc>
      </w:tr>
      <w:tr>
        <w:trPr>
          <w:cantSplit/>
        </w:trPr>
        <w:tc>
          <w:tcPr>
            <w:tcW w:type="dxa" w:w="2376"/>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50" w:lineRule="auto"/>
            </w:pPr>
            <w:r>
              <w:rPr>
                <w:b w:val="0"/>
                <w:color w:val="000000"/>
                <w:sz w:val="19"/>
              </w:rPr>
              <w:t>Fresh public AI request</w:t>
            </w:r>
          </w:p>
        </w:tc>
        <w:tc>
          <w:tcPr>
            <w:tcW w:type="dxa" w:w="2952"/>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50" w:lineRule="auto"/>
            </w:pPr>
            <w:r>
              <w:rPr>
                <w:b w:val="0"/>
                <w:color w:val="000000"/>
                <w:sz w:val="19"/>
              </w:rPr>
              <w:t>0 -&gt; 917 tokens; cached=false</w:t>
            </w:r>
          </w:p>
        </w:tc>
        <w:tc>
          <w:tcPr>
            <w:tcW w:type="dxa" w:w="4464"/>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50" w:lineRule="auto"/>
            </w:pPr>
            <w:r>
              <w:rPr>
                <w:b w:val="0"/>
                <w:color w:val="000000"/>
                <w:sz w:val="19"/>
              </w:rPr>
              <w:t>Primary GPT-OSS; AI-origin unverified claim</w:t>
            </w:r>
          </w:p>
        </w:tc>
      </w:tr>
      <w:tr>
        <w:trPr>
          <w:cantSplit/>
        </w:trPr>
        <w:tc>
          <w:tcPr>
            <w:tcW w:type="dxa" w:w="2376"/>
            <w:vAlign w:val="center"/>
            <w:tcBorders>
              <w:top w:val="single" w:sz="4" w:color="D9D9D9"/>
              <w:left w:val="single" w:sz="4" w:color="D9D9D9"/>
              <w:bottom w:val="single" w:sz="4" w:color="D9D9D9"/>
              <w:right w:val="single" w:sz="4" w:color="D9D9D9"/>
            </w:tcBorders>
            <w:shd w:fill="F3F6F8"/>
            <w:tcMar>
              <w:top w:w="85" w:type="dxa"/>
              <w:left w:w="85" w:type="dxa"/>
              <w:bottom w:w="85" w:type="dxa"/>
              <w:right w:w="85" w:type="dxa"/>
            </w:tcMar>
          </w:tcPr>
          <w:p>
            <w:pPr>
              <w:spacing w:after="40" w:line="250" w:lineRule="auto"/>
            </w:pPr>
            <w:r>
              <w:rPr>
                <w:b w:val="0"/>
                <w:color w:val="000000"/>
                <w:sz w:val="19"/>
              </w:rPr>
              <w:t>Public workflow</w:t>
            </w:r>
          </w:p>
        </w:tc>
        <w:tc>
          <w:tcPr>
            <w:tcW w:type="dxa" w:w="2952"/>
            <w:vAlign w:val="center"/>
            <w:tcBorders>
              <w:top w:val="single" w:sz="4" w:color="D9D9D9"/>
              <w:left w:val="single" w:sz="4" w:color="D9D9D9"/>
              <w:bottom w:val="single" w:sz="4" w:color="D9D9D9"/>
              <w:right w:val="single" w:sz="4" w:color="D9D9D9"/>
            </w:tcBorders>
            <w:shd w:fill="F3F6F8"/>
            <w:tcMar>
              <w:top w:w="85" w:type="dxa"/>
              <w:left w:w="85" w:type="dxa"/>
              <w:bottom w:w="85" w:type="dxa"/>
              <w:right w:w="85" w:type="dxa"/>
            </w:tcMar>
          </w:tcPr>
          <w:p>
            <w:pPr>
              <w:spacing w:after="40" w:line="250" w:lineRule="auto"/>
            </w:pPr>
            <w:r>
              <w:rPr>
                <w:b w:val="0"/>
                <w:color w:val="000000"/>
                <w:sz w:val="19"/>
              </w:rPr>
              <w:t>Passed</w:t>
            </w:r>
          </w:p>
        </w:tc>
        <w:tc>
          <w:tcPr>
            <w:tcW w:type="dxa" w:w="4464"/>
            <w:vAlign w:val="center"/>
            <w:tcBorders>
              <w:top w:val="single" w:sz="4" w:color="D9D9D9"/>
              <w:left w:val="single" w:sz="4" w:color="D9D9D9"/>
              <w:bottom w:val="single" w:sz="4" w:color="D9D9D9"/>
              <w:right w:val="single" w:sz="4" w:color="D9D9D9"/>
            </w:tcBorders>
            <w:shd w:fill="F3F6F8"/>
            <w:tcMar>
              <w:top w:w="85" w:type="dxa"/>
              <w:left w:w="85" w:type="dxa"/>
              <w:bottom w:w="85" w:type="dxa"/>
              <w:right w:w="85" w:type="dxa"/>
            </w:tcMar>
          </w:tcPr>
          <w:p>
            <w:pPr>
              <w:spacing w:after="40" w:line="250" w:lineRule="auto"/>
            </w:pPr>
            <w:r>
              <w:rPr>
                <w:b w:val="0"/>
                <w:color w:val="000000"/>
                <w:sz w:val="19"/>
              </w:rPr>
              <w:t>Decisions, versions, approval, return, comments and audit</w:t>
            </w:r>
          </w:p>
        </w:tc>
      </w:tr>
      <w:tr>
        <w:trPr>
          <w:cantSplit/>
        </w:trPr>
        <w:tc>
          <w:tcPr>
            <w:tcW w:type="dxa" w:w="2376"/>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50" w:lineRule="auto"/>
            </w:pPr>
            <w:r>
              <w:rPr>
                <w:b w:val="0"/>
                <w:color w:val="000000"/>
                <w:sz w:val="19"/>
              </w:rPr>
              <w:t>Public boundary checks</w:t>
            </w:r>
          </w:p>
        </w:tc>
        <w:tc>
          <w:tcPr>
            <w:tcW w:type="dxa" w:w="2952"/>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50" w:lineRule="auto"/>
            </w:pPr>
            <w:r>
              <w:rPr>
                <w:b w:val="0"/>
                <w:color w:val="000000"/>
                <w:sz w:val="19"/>
              </w:rPr>
              <w:t>Passed</w:t>
            </w:r>
          </w:p>
        </w:tc>
        <w:tc>
          <w:tcPr>
            <w:tcW w:type="dxa" w:w="4464"/>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50" w:lineRule="auto"/>
            </w:pPr>
            <w:r>
              <w:rPr>
                <w:b w:val="0"/>
                <w:color w:val="000000"/>
                <w:sz w:val="19"/>
              </w:rPr>
              <w:t>5,000 accepted; 5,001 rejected; friendly 429 observed</w:t>
            </w:r>
          </w:p>
        </w:tc>
      </w:tr>
    </w:tbl>
    <w:p>
      <w:pPr>
        <w:spacing w:after="0"/>
      </w:pPr>
    </w:p>
    <w:p>
      <w:r>
        <w:t>Recall figures are measured on our own 11 sample drafts, not general accuracy. They are code-occurrence recall, not independently labelled precision/recall. The original live AI sample run had one false positive on clean sample 2; the general terminology validator correction removed it on replay. Both original and corrected records remain available.</w:t>
      </w:r>
    </w:p>
    <w:p>
      <w:pPr>
        <w:pStyle w:val="Heading2"/>
      </w:pPr>
      <w:r>
        <w:t>Known limits</w:t>
      </w:r>
    </w:p>
    <w:p>
      <w:pPr>
        <w:pStyle w:val="ListBullet"/>
        <w:spacing w:after="100"/>
      </w:pPr>
      <w:r>
        <w:t>Roles are simulated and data is shared; there is no real authentication or tenant isolation.</w:t>
      </w:r>
    </w:p>
    <w:p>
      <w:pPr>
        <w:pStyle w:val="ListBullet"/>
        <w:spacing w:after="100"/>
      </w:pPr>
      <w:r>
        <w:t>Render Free can cold-start and lose SQLite state, audit history and local counters on restart/redeploy/spin-down. Provider quotas still apply.</w:t>
      </w:r>
    </w:p>
    <w:p>
      <w:pPr>
        <w:pStyle w:val="ListBullet"/>
        <w:spacing w:after="100"/>
      </w:pPr>
      <w:r>
        <w:t>The third model is not verified live: one JSON-mode call returned HTTP 403, model_permission_blocked_org, on 22 October 2026. Other uses of the same key are invisible to local counters.</w:t>
      </w:r>
    </w:p>
    <w:p>
      <w:pPr>
        <w:pStyle w:val="ListBullet"/>
        <w:spacing w:after="100"/>
      </w:pPr>
      <w:r>
        <w:t>Confidence is uncalibrated; quote/code validation cannot establish every AI explanation is correct. High-risk overrides can remain with reasons; medical risks need Reviewer sign-off.</w:t>
      </w:r>
    </w:p>
    <w:p>
      <w:pPr>
        <w:pStyle w:val="ListBullet"/>
        <w:spacing w:after="100"/>
      </w:pPr>
      <w:r>
        <w:t>Images, DOCX/PDF ingestion, clarity analytics and benchmark metrics in the UI are not implemented.</w:t>
      </w:r>
    </w:p>
    <w:p>
      <w:pPr>
        <w:pStyle w:val="ListBullet"/>
        <w:spacing w:after="100"/>
      </w:pPr>
      <w:r>
        <w:t>KB changes do not automatically re-review existing versions or snapshot historical policy text. Diff is plain before/after.</w:t>
      </w:r>
    </w:p>
    <w:p>
      <w:pPr>
        <w:pStyle w:val="ListBullet"/>
        <w:spacing w:after="100"/>
      </w:pPr>
      <w:r>
        <w:t>Initial status can briefly say Rules available before loading; rules-only progress copy still mentions AI. The test suite emits a dependency deprecation warning.</w:t>
      </w:r>
    </w:p>
    <w:p>
      <w:pPr>
        <w:pStyle w:val="ListBullet"/>
        <w:spacing w:after="100"/>
      </w:pPr>
      <w:r>
        <w:t>Usability evidence is limited to three informal volunteer sessions; no formal study or independent accuracy evaluation has been done.</w:t>
      </w:r>
    </w:p>
    <w:p>
      <w:r>
        <w:br w:type="page"/>
      </w:r>
    </w:p>
    <w:p>
      <w:pPr>
        <w:pStyle w:val="Heading1"/>
      </w:pPr>
      <w:r>
        <w:t>Team contributions and disclosure</w:t>
      </w:r>
    </w:p>
    <w:p>
      <w:pPr>
        <w:pStyle w:val="Heading2"/>
      </w:pPr>
      <w:r>
        <w:t>Team confirmed contributions</w:t>
      </w:r>
    </w:p>
    <w:p>
      <w:r>
        <w:t>Dheeraj created the GitHub repository, the Groq key and the Render deployment; wrote the Round 1 plan; directed the AI-assisted build with the prompts; and handled documentation and submission.</w:t>
      </w:r>
    </w:p>
    <w:p>
      <w:r>
        <w:t>The code was generated by Codex (GPT-6.1 Sol) under Dheeraj's direction. Codex assisted with tests, verification tooling and submission artifacts. Commit author names are not used to infer who completed a task.</w:t>
      </w:r>
    </w:p>
    <w:p>
      <w:pPr>
        <w:pStyle w:val="Heading2"/>
      </w:pPr>
      <w:r>
        <w:t>Charan</w:t>
      </w:r>
    </w:p>
    <w:p>
      <w:r>
        <w:t>&lt;&lt; Charan reviewed the review-engine code with Dheeraj, ran the test suite, and took part in the live testing, Backend, coding implementation ideas &gt;&gt;</w:t>
      </w:r>
    </w:p>
    <w:p>
      <w:pPr>
        <w:pStyle w:val="Heading2"/>
      </w:pPr>
      <w:r>
        <w:t>AI and reuse disclosure</w:t>
      </w:r>
    </w:p>
    <w:p>
      <w:r>
        <w:t>Product AI sends draft text, channel, compact approved knowledge and rule summaries to Groq only when enabled on a suitable cache miss. The UI discloses this transfer and asks users to avoid confidential content. The key stays server-side and .env is ignored and untracked. The application uses fictional team-supplied brand data, open-source libraries and Lucide icons; no external website template or additional training dataset was used.</w:t>
      </w:r>
    </w:p>
    <w:p>
      <w:r>
        <w:t>The verified public request returned an AI-origin unsupported claim and increased primary-model daily usage from 0 to 917 tokens. The live UI showed AI-suggested, Unverified, needs a human and disabled Accept. No accounting/label fix was required. An earlier zero alone was inconclusive because cache hits do not add usage and ephemeral counters may reset.</w:t>
      </w:r>
    </w:p>
    <w:p>
      <w:pPr>
        <w:pStyle w:val="Heading2"/>
      </w:pPr>
      <w:r>
        <w:t>Evidence and source boundaries</w:t>
      </w:r>
    </w:p>
    <w:p>
      <w:r>
        <w:t>Implementation and automated test evidence are in this repository. The comparison names our Round 1 plan (Team 27). Contributions and informal session notes are the team's supplied facts. Round 3 pages describe proposed designs and future acceptance measures, not completed features. Full records: docs/submission/VERIFICATION.md, docs/AI_DISCLOSURE.md and docs/KNOWN_ISSUES.md.</w:t>
      </w:r>
    </w:p>
    <w:p>
      <w:r>
        <w:br w:type="page"/>
      </w:r>
    </w:p>
    <w:p>
      <w:pPr>
        <w:pStyle w:val="Heading1"/>
      </w:pPr>
      <w:r>
        <w:t>Informal user testing</w:t>
      </w:r>
    </w:p>
    <w:p>
      <w:r>
        <w:t>Informal, n=3. Run and observed by the team on the live site on 22 October 2026, after deployment. The following are the supplied observer notes.</w:t>
      </w:r>
    </w:p>
    <w:p>
      <w:pPr>
        <w:pStyle w:val="Heading2"/>
      </w:pPr>
      <w:r>
        <w:t>Tester 1</w:t>
      </w:r>
    </w:p>
    <w:p>
      <w:r>
        <w:t>Approximate total session time: about 4 minutes.</w:t>
      </w:r>
    </w:p>
    <w:p>
      <w:r>
        <w:t>Learned the product from the guided demo, completed the journey, relied on the AI-suggested findings and checked them against the knowledge base, and acted as the Manager role.</w:t>
      </w:r>
    </w:p>
    <w:p>
      <w:pPr>
        <w:pStyle w:val="Heading2"/>
      </w:pPr>
      <w:r>
        <w:t>Tester 2</w:t>
      </w:r>
    </w:p>
    <w:p>
      <w:r>
        <w:t>Approximate total session time: about 6 minutes.</w:t>
      </w:r>
    </w:p>
    <w:p>
      <w:r>
        <w:t>Used a sample draft and switched roles freely. Said a separate Reviewer role felt unnecessary and preferred approving directly as Manager.</w:t>
      </w:r>
    </w:p>
    <w:p>
      <w:r>
        <w:t>Observer note: This is one tester's reaction to the Reviewer step.</w:t>
      </w:r>
    </w:p>
    <w:p>
      <w:pPr>
        <w:pStyle w:val="Heading2"/>
      </w:pPr>
      <w:r>
        <w:t>Tester 3</w:t>
      </w:r>
    </w:p>
    <w:p>
      <w:r>
        <w:t>Approximate total session time: about 5 minutes.</w:t>
      </w:r>
    </w:p>
    <w:p>
      <w:r>
        <w:t>Used a sample draft, followed the AI suggestions and checked them against the knowledge base.</w:t>
      </w:r>
    </w:p>
    <w:p>
      <w:pPr>
        <w:pStyle w:val="Heading2"/>
      </w:pPr>
      <w:r>
        <w:t>Common observation</w:t>
      </w:r>
    </w:p>
    <w:p>
      <w:r>
        <w:t>All three relied on the AI-suggested findings and verified them using the visible source line:</w:t>
      </w:r>
    </w:p>
    <w:p>
      <w:r>
        <w:t>Source: organisation-approved knowledge base · Fictional Acme Hydrate</w:t>
      </w:r>
    </w:p>
    <w:p>
      <w:pPr>
        <w:pStyle w:val="Heading2"/>
      </w:pPr>
      <w:r>
        <w:t>Limits</w:t>
      </w:r>
    </w:p>
    <w:p>
      <w:r>
        <w:t>Three volunteers, informal, observed by the team, no timing of individual tasks, no formal questionnaire. Not statistically meaningful. The test sessions left content items in the live demo workspace.</w:t>
      </w:r>
    </w:p>
    <w:p>
      <w:r>
        <w:t>Usability evidence is limited to three informal volunteer sessions; no formal study or independent accuracy evaluation has been done.</w:t>
      </w:r>
    </w:p>
    <w:p>
      <w:r>
        <w:br w:type="page"/>
      </w:r>
    </w:p>
    <w:p>
      <w:pPr>
        <w:pStyle w:val="Heading1"/>
      </w:pPr>
      <w:r>
        <w:t>Round 3 improvement 1</w:t>
      </w:r>
    </w:p>
    <w:p>
      <w:pPr>
        <w:pStyle w:val="Heading2"/>
      </w:pPr>
      <w:r>
        <w:t>Guideline Clarity Insights</w:t>
      </w:r>
    </w:p>
    <w:p>
      <w:r>
        <w:t>Proposed work for Round 3. No user impact or acceptance result below is claimed measured.</w:t>
      </w:r>
    </w:p>
    <w:p>
      <w:pPr>
        <w:pStyle w:val="Heading2"/>
      </w:pPr>
      <w:r>
        <w:t>User problem</w:t>
      </w:r>
    </w:p>
    <w:p>
      <w:r>
        <w:t>Managers cannot currently see which guidelines repeatedly cause confusion, revisions or overrides. A single draft view hides recurring policy problems.</w:t>
      </w:r>
    </w:p>
    <w:p>
      <w:pPr>
        <w:pStyle w:val="Heading2"/>
      </w:pPr>
      <w:r>
        <w:t>Concrete technical design</w:t>
      </w:r>
    </w:p>
    <w:p>
      <w:r>
        <w:t>Snapshot policy revision/text on each finding. Store structured override categories alongside original reasons. Aggregate issue frequency, override rate, repeat edits and decision time by policy revision, channel and date, with denominators. Add a Manager/Admin insights endpoint and dashboard linking every alert to permission-checked source findings. Require minimum sample counts; suggested clarifications remain human proposals.</w:t>
      </w:r>
    </w:p>
    <w:p>
      <w:pPr>
        <w:pStyle w:val="Heading2"/>
      </w:pPr>
      <w:r>
        <w:t>Milestones</w:t>
      </w:r>
    </w:p>
    <w:p>
      <w:pPr>
        <w:pStyle w:val="ListBullet"/>
        <w:spacing w:after="100"/>
      </w:pPr>
      <w:r>
        <w:t>M1: add policy revision snapshots, override categories and fixture-based aggregation tests.</w:t>
      </w:r>
    </w:p>
    <w:p>
      <w:pPr>
        <w:pStyle w:val="ListBullet"/>
        <w:spacing w:after="100"/>
      </w:pPr>
      <w:r>
        <w:t>M2: deliver counts, rates, date filters and drill-down to real evidence.</w:t>
      </w:r>
    </w:p>
    <w:p>
      <w:pPr>
        <w:pStyle w:val="ListBullet"/>
        <w:spacing w:after="100"/>
      </w:pPr>
      <w:r>
        <w:t>M3: add ambiguity signals and optional grounded summaries; test small-sample and access-control cases.</w:t>
      </w:r>
    </w:p>
    <w:p>
      <w:pPr>
        <w:pStyle w:val="Heading2"/>
      </w:pPr>
      <w:r>
        <w:t>How success will be measured</w:t>
      </w:r>
    </w:p>
    <w:p>
      <w:r>
        <w:t>Proposed acceptance measures: all displayed aggregates exactly match event fixtures; every alert links to its supporting findings; no alerts below the declared sample threshold. In a future human study, compare task completion time for identifying a recurring guideline problem against the draft-by-draft baseline. No improvement percentage is claimed before measurement.</w:t>
      </w:r>
    </w:p>
    <w:p>
      <w:pPr>
        <w:pStyle w:val="Heading2"/>
      </w:pPr>
      <w:r>
        <w:t>What we cut first if time is short</w:t>
      </w:r>
    </w:p>
    <w:p>
      <w:r>
        <w:t>Cut AI clustering/summaries first, then advanced cohort filters. Keep policy revisions, counts with denominators, override reasons and evidence drill-down.</w:t>
      </w:r>
    </w:p>
    <w:p>
      <w:r>
        <w:br w:type="page"/>
      </w:r>
    </w:p>
    <w:p>
      <w:pPr>
        <w:pStyle w:val="Heading1"/>
      </w:pPr>
      <w:r>
        <w:t>Round 3 improvement 2</w:t>
      </w:r>
    </w:p>
    <w:p>
      <w:pPr>
        <w:pStyle w:val="Heading2"/>
      </w:pPr>
      <w:r>
        <w:t>Multi format review of images and DOCX and PDF</w:t>
      </w:r>
    </w:p>
    <w:p>
      <w:r>
        <w:t>Proposed work for Round 3. No user impact or acceptance result below is claimed measured.</w:t>
      </w:r>
    </w:p>
    <w:p>
      <w:pPr>
        <w:pStyle w:val="Heading2"/>
      </w:pPr>
      <w:r>
        <w:t>User problem</w:t>
      </w:r>
    </w:p>
    <w:p>
      <w:r>
        <w:t>Creators currently must paste text; they cannot submit an image, brochure or document and inspect a finding at its original page or image region.</w:t>
      </w:r>
    </w:p>
    <w:p>
      <w:pPr>
        <w:pStyle w:val="Heading2"/>
      </w:pPr>
      <w:r>
        <w:t>Concrete technical design</w:t>
      </w:r>
    </w:p>
    <w:p>
      <w:r>
        <w:t>Add private Asset and ExtractedSpan records with file hash, MIME type, extraction coverage, page/paragraph coordinates and version. Validate file signatures and size/page limits; isolate parsing. Extract DOCX paragraphs/tables with python-docx and PDF text with pypdf/pdfplumber; use OCR for scanned pages. For images, check supplied alt text, measurable contrast, palette and logo presence with OCR/vision assistance. Evaluate the requested qwen/qwen3.8-27b only after confirming provider vision support, otherwise select a supported vision model behind an adapter. Reuse rules, grounding, decisions and approval; show cannot determine when evidence or extraction is inadequate.</w:t>
      </w:r>
    </w:p>
    <w:p>
      <w:pPr>
        <w:pStyle w:val="Heading2"/>
      </w:pPr>
      <w:r>
        <w:t>Milestones</w:t>
      </w:r>
    </w:p>
    <w:p>
      <w:pPr>
        <w:pStyle w:val="ListBullet"/>
        <w:spacing w:after="100"/>
      </w:pPr>
      <w:r>
        <w:t>M1: implement validated uploads and DOCX/selectable-PDF extraction with source locations and coverage warnings.</w:t>
      </w:r>
    </w:p>
    <w:p>
      <w:pPr>
        <w:pStyle w:val="ListBullet"/>
        <w:spacing w:after="100"/>
      </w:pPr>
      <w:r>
        <w:t>M2: add image/OCR ingestion, alt-text review and measured palette/contrast checks.</w:t>
      </w:r>
    </w:p>
    <w:p>
      <w:pPr>
        <w:pStyle w:val="ListBullet"/>
        <w:spacing w:after="100"/>
      </w:pPr>
      <w:r>
        <w:t>M3: add supported vision/logo checks and scanned-PDF OCR; integrate asset versions and source-region review.</w:t>
      </w:r>
    </w:p>
    <w:p>
      <w:pPr>
        <w:pStyle w:val="Heading2"/>
      </w:pPr>
      <w:r>
        <w:t>How success will be measured</w:t>
      </w:r>
    </w:p>
    <w:p>
      <w:r>
        <w:t>Proposed acceptance measures: every retained finding maps to an original paragraph, page or image region; fixture tests detect corrupt/oversize files and unreadable pages without claiming complete extraction. Measure extraction coverage and per-check precision/recall on labelled format fixtures, then have a human complete review-to-approval on each supported format. Complex contrast must return cannot determine instead of an invented ratio.</w:t>
      </w:r>
    </w:p>
    <w:p>
      <w:pPr>
        <w:pStyle w:val="Heading2"/>
      </w:pPr>
      <w:r>
        <w:t>What we cut first if time is short</w:t>
      </w:r>
    </w:p>
    <w:p>
      <w:r>
        <w:t>Cut custom logo detection and broad visual aesthetics first, then scanned-PDF OCR if needed. Keep DOCX/selectable-PDF extraction, basic image/alt-text checks, coverage warnings and source-located findings; do not advertise an unsupported format as complete.</w:t>
      </w:r>
    </w:p>
    <w:p>
      <w:r>
        <w:br w:type="page"/>
      </w:r>
    </w:p>
    <w:p>
      <w:pPr>
        <w:pStyle w:val="Heading1"/>
      </w:pPr>
      <w:r>
        <w:t>Round 3 improvement 3</w:t>
      </w:r>
    </w:p>
    <w:p>
      <w:pPr>
        <w:pStyle w:val="Heading2"/>
      </w:pPr>
      <w:r>
        <w:t>Reliability and evaluation harness</w:t>
      </w:r>
    </w:p>
    <w:p>
      <w:r>
        <w:t>Proposed work for Round 3. No user impact or acceptance result below is claimed measured.</w:t>
      </w:r>
    </w:p>
    <w:p>
      <w:pPr>
        <w:pStyle w:val="Heading2"/>
      </w:pPr>
      <w:r>
        <w:t>User problem</w:t>
      </w:r>
    </w:p>
    <w:p>
      <w:r>
        <w:t>The current 11-draft sample set is too small to establish general accuracy, and accepting a suggestion does not prove that it was correct. Users need clearer evidence of what a review system can reliably detect.</w:t>
      </w:r>
    </w:p>
    <w:p>
      <w:pPr>
        <w:pStyle w:val="Heading2"/>
      </w:pPr>
      <w:r>
        <w:t>Concrete technical design</w:t>
      </w:r>
    </w:p>
    <w:p>
      <w:r>
        <w:t>Build a versioned human-labelled benchmark with separate development/evaluation splits, uncertain cases and adjudication. Record expected code, span, severity and safety labels. Pin results to code commit, KB/prompt hash, provider/model and timestamp; separate cache replays from new calls. Add finding-level correctness/source/severity/safety feedback distinct from accept/reject. Report per-code/channel precision and recall, span quality, fabricated-citation and unsafe-replacement rates, latency, token cost and fallback behavior. Display benchmark date, counts and uncertainty next to metrics; confidence remains uncalibrated until evaluated.</w:t>
      </w:r>
    </w:p>
    <w:p>
      <w:pPr>
        <w:pStyle w:val="Heading2"/>
      </w:pPr>
      <w:r>
        <w:t>Milestones</w:t>
      </w:r>
    </w:p>
    <w:p>
      <w:pPr>
        <w:pStyle w:val="ListBullet"/>
        <w:spacing w:after="100"/>
      </w:pPr>
      <w:r>
        <w:t>M1: define labels, annotation guide, split and deterministic CI runner with failure injection.</w:t>
      </w:r>
    </w:p>
    <w:p>
      <w:pPr>
        <w:pStyle w:val="ListBullet"/>
        <w:spacing w:after="100"/>
      </w:pPr>
      <w:r>
        <w:t>M2: store reproducible model runs and finding-level feedback; adjudicate disagreements.</w:t>
      </w:r>
    </w:p>
    <w:p>
      <w:pPr>
        <w:pStyle w:val="ListBullet"/>
        <w:spacing w:after="100"/>
      </w:pPr>
      <w:r>
        <w:t>M3: publish benchmark-scoped metrics in the UI, add confidence-bin analysis and compare model/prompt revisions.</w:t>
      </w:r>
    </w:p>
    <w:p>
      <w:pPr>
        <w:pStyle w:val="Heading2"/>
      </w:pPr>
      <w:r>
        <w:t>How success will be measured</w:t>
      </w:r>
    </w:p>
    <w:p>
      <w:r>
        <w:t>Proposed acceptance measures: 100% of displayed metrics reproduce from stored labels/results; all provider-failure fixtures complete via a documented fallback or rules-only result; no known fabricated citation or rule-violating replacement passes the safety fixtures. Set quality release thresholds only after a labelled baseline exists and show sample counts and uncertainty. Confidence calibration and independent human evaluation are future measurements, not current claims.</w:t>
      </w:r>
    </w:p>
    <w:p>
      <w:pPr>
        <w:pStyle w:val="Heading2"/>
      </w:pPr>
      <w:r>
        <w:t>What we cut first if time is short</w:t>
      </w:r>
    </w:p>
    <w:p>
      <w:r>
        <w:t>Cut live model-comparison dashboards, automated calibration and continuous paid evaluations first. Keep a fixed labelled benchmark, reproducible offline runner, failure fixtures, feedback records and honest metric scope.</w:t>
      </w:r>
    </w:p>
    <w:sectPr w:rsidR="00FC693F" w:rsidRPr="0006063C" w:rsidSect="00034616">
      <w:footerReference w:type="default" r:id="rId9"/>
      <w:pgSz w:w="11909" w:h="16834"/>
      <w:pgMar w:top="950" w:right="1008" w:bottom="950" w:left="1008" w:header="720"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VeriBrand Round 2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4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40" w:after="140"/>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veribrand.onrender.com" TargetMode="External"/><Relationship Id="rId11" Type="http://schemas.openxmlformats.org/officeDocument/2006/relationships/hyperlink" Target="https://github.com/DheerajMG-Bng/veribrand" TargetMode="External"/><Relationship Id="rId1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VeriBrand Round 2 Update</dc:title>
  <dc:subject>Verified hackathon delivery and Round 3 plan</dc:subject>
  <dc:creator>Team 27</dc:creator>
  <cp:keywords>VeriBrand, Round 2, Team 27</cp:keywords>
  <dc:description>generated by python-docx</dc:description>
  <cp:lastModifiedBy/>
  <cp:revision>1</cp:revision>
  <dcterms:created xsi:type="dcterms:W3CDTF">2013-12-23T23:15:00Z</dcterms:created>
  <dcterms:modified xsi:type="dcterms:W3CDTF">2013-12-23T23:15:00Z</dcterms:modified>
  <cp:category/>
</cp:coreProperties>
</file>