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to whom this will be useful and how:</w:t>
      </w:r>
    </w:p>
    <w:p w:rsidR="00000000" w:rsidDel="00000000" w:rsidP="00000000" w:rsidRDefault="00000000" w:rsidRPr="00000000" w14:paraId="00000002">
      <w:pPr>
        <w:rPr>
          <w:rFonts w:ascii="Roboto" w:cs="Roboto" w:eastAsia="Roboto" w:hAnsi="Roboto"/>
          <w:b w:val="1"/>
          <w:sz w:val="25"/>
          <w:szCs w:val="25"/>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 Automated Diabetes Diagnosis system can be useful to a wide range of people, including patients, healthcare providers, and researchers.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patients, an Automated Diabetes Diagnosis system can provide a quick and accurate diagnosis of diabetes, allowing for early detection and treatment. This can help prevent complications and improve overall health outcomes. Patients can also use the system to monitor their glucose levels and track their progress over time.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Healthcare providers can use an Automated Diabetes Diagnosis system to screen patients for diabetes and determine the most appropriate course of treatment. This can help improve the accuracy of diagnosis and reduce the workload of healthcare providers. Additionally, an Automated Diabetes Diagnosis system can provide decision support to healthcare providers, suggesting the most appropriate treatment options based on patient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Researchers can also benefit from an Automated Diabetes Diagnosis system by using it to analyze large datasets of patient health records. By identifying patterns and trends in patient data, researchers can gain insights into the causes and risk factors of diabetes, as well as identify potential targets for new treatments or interventions.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Overall, an Automated Diabetes Diagnosis system can be a valuable tool for improving diabetes diagnosis, treatment, and research, ultimately leading to better health outcomes for patients.</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