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CERBERUS: A Comprehensive Framework for</w:t>
      </w:r>
    </w:p>
    <w:p>
      <w:pPr>
        <w:spacing w:after="80"/>
        <w:jc w:val="center"/>
      </w:pPr>
      <w:r>
        <w:rPr>
          <w:rFonts w:ascii="Times New Roman" w:cs="Times New Roman" w:eastAsia="Times New Roman" w:hAnsi="Times New Roman"/>
          <w:b/>
          <w:bCs/>
          <w:sz w:val="28"/>
          <w:szCs w:val="28"/>
        </w:rPr>
        <w:t xml:space="preserve">Adversarial Robustness Evaluation and Hardening</w:t>
      </w:r>
    </w:p>
    <w:p>
      <w:pPr>
        <w:spacing w:after="80"/>
        <w:jc w:val="center"/>
      </w:pPr>
      <w:r>
        <w:rPr>
          <w:rFonts w:ascii="Times New Roman" w:cs="Times New Roman" w:eastAsia="Times New Roman" w:hAnsi="Times New Roman"/>
          <w:b/>
          <w:bCs/>
          <w:sz w:val="28"/>
          <w:szCs w:val="28"/>
        </w:rPr>
        <w:t xml:space="preserve">of Deep Neural Networks</w:t>
      </w:r>
    </w:p>
    <w:p>
      <w:r>
        <w:t xml:space="preserve"/>
      </w:r>
    </w:p>
    <w:p>
      <w:pPr>
        <w:spacing w:after="80"/>
        <w:jc w:val="center"/>
      </w:pPr>
      <w:r>
        <w:rPr>
          <w:rFonts w:ascii="Times New Roman" w:cs="Times New Roman" w:eastAsia="Times New Roman" w:hAnsi="Times New Roman"/>
          <w:sz w:val="22"/>
          <w:szCs w:val="22"/>
        </w:rPr>
        <w:t xml:space="preserve">Dharmendra D P,  Chiranjeev Kapoor,  Gaurav Bhandare</w:t>
      </w:r>
    </w:p>
    <w:p>
      <w:pPr>
        <w:spacing w:after="80"/>
        <w:jc w:val="center"/>
      </w:pPr>
      <w:r>
        <w:rPr>
          <w:rFonts w:ascii="Times New Roman" w:cs="Times New Roman" w:eastAsia="Times New Roman" w:hAnsi="Times New Roman"/>
          <w:sz w:val="22"/>
          <w:szCs w:val="22"/>
        </w:rPr>
        <w:t xml:space="preserve">B Dheerendra Achar,  Chhavi Sharma</w:t>
      </w:r>
    </w:p>
    <w:p>
      <w:pPr>
        <w:spacing w:after="80"/>
        <w:jc w:val="center"/>
      </w:pPr>
      <w:r>
        <w:rPr>
          <w:rFonts w:ascii="Times New Roman" w:cs="Times New Roman" w:eastAsia="Times New Roman" w:hAnsi="Times New Roman"/>
          <w:i/>
          <w:iCs/>
          <w:sz w:val="20"/>
          <w:szCs w:val="20"/>
        </w:rPr>
        <w:t xml:space="preserve">Department of CSE, Dayananda Sagar University, Bengaluru, India</w:t>
      </w:r>
    </w:p>
    <w:p>
      <w:r>
        <w:t xml:space="preserve"/>
      </w:r>
    </w:p>
    <w:p>
      <w:pPr>
        <w:pStyle w:val="Heading1"/>
        <w:spacing w:after="120" w:before="300"/>
      </w:pPr>
      <w:r>
        <w:rPr>
          <w:rFonts w:ascii="Times New Roman" w:cs="Times New Roman" w:eastAsia="Times New Roman" w:hAnsi="Times New Roman"/>
          <w:b/>
          <w:bCs/>
          <w:sz w:val="28"/>
          <w:szCs w:val="28"/>
        </w:rPr>
        <w:t xml:space="preserve">Abstract</w:t>
      </w:r>
    </w:p>
    <w:p>
      <w:pPr>
        <w:spacing w:after="140"/>
        <w:jc w:val="both"/>
      </w:pPr>
      <w:r>
        <w:rPr>
          <w:rFonts w:ascii="Times New Roman" w:cs="Times New Roman" w:eastAsia="Times New Roman" w:hAnsi="Times New Roman"/>
          <w:sz w:val="22"/>
          <w:szCs w:val="22"/>
        </w:rPr>
        <w:t xml:space="preserve">DNNs have become load-bearing infrastructure in fields where errors carry genuine consequence—autonomous navigation, diagnostic imaging, biometric identity verification, content filtering. That makes the adversarial example problem not merely interesting but operationally urgent. Small, mathematically crafted perturbations, invisible to human reviewers, routinely cause well-trained classifiers to fail with high confidence. The problem has been studied intensively, yet the tooling available to practitioners lags behind the research: attack implementations are fragmented, defense evaluations are inconsistent, and almost nothing spans both vision and language domains in a single coherent environment.</w:t>
      </w:r>
    </w:p>
    <w:p>
      <w:pPr>
        <w:spacing w:after="140"/>
        <w:jc w:val="both"/>
      </w:pPr>
      <w:r>
        <w:rPr>
          <w:rFonts w:ascii="Times New Roman" w:cs="Times New Roman" w:eastAsia="Times New Roman" w:hAnsi="Times New Roman"/>
          <w:sz w:val="22"/>
          <w:szCs w:val="22"/>
        </w:rPr>
        <w:t xml:space="preserve">We built CERBERUS to address this gap directly. The framework brings together ten adversarial attack algorithms under one backend—five gradient-based methods (FGSM, PGD, C&amp;W, DeepFool, JSMA) and five ensemble or black-box methods (AutoAttack, Square, FAB, RaySAttack, TRADES)—with adaptive fallback logic and dynamic perturbation scheduling baked in. Thirteen model architectures are supported: nine for vision tasks (ResNet-18/50, VGG-16, DenseNet-121, MobileNetV2, EfficientNet-B0, Inception-V3, ShuffleNet-V2, ViT) and four for NLP (TextCNN, LSTM, BiLSTM, Transformer). Experiments run across CIFAR-10 and AG News, totalling over 130 attack scenarios.</w:t>
      </w:r>
    </w:p>
    <w:p>
      <w:pPr>
        <w:spacing w:after="140"/>
        <w:jc w:val="both"/>
      </w:pPr>
      <w:r>
        <w:rPr>
          <w:rFonts w:ascii="Times New Roman" w:cs="Times New Roman" w:eastAsia="Times New Roman" w:hAnsi="Times New Roman"/>
          <w:sz w:val="22"/>
          <w:szCs w:val="22"/>
        </w:rPr>
        <w:t xml:space="preserve">Mixed-loss adversarial training improved robustness by 18% on average with clean accuracy falling by less than 3%—a trade-off we consider workable for security-sensitive deployment. Several findings were sharper than we anticipated: attack success rates span a 23-point range across architectures (67.6%–90.6%); NLP models sit about 3.9 percentage points below vision models in average robustness; and adversarial examples transfer across architectures at a 68.6% average rate, which has direct implications for real-world black-box threat scenarios. CERBERUS is released as open-source software with modular components.</w:t>
      </w:r>
    </w:p>
    <w:p>
      <w:pPr>
        <w:spacing w:after="140"/>
        <w:jc w:val="both"/>
      </w:pPr>
      <w:r>
        <w:rPr>
          <w:rFonts w:ascii="Times New Roman" w:cs="Times New Roman" w:eastAsia="Times New Roman" w:hAnsi="Times New Roman"/>
          <w:i/>
          <w:iCs/>
          <w:sz w:val="22"/>
          <w:szCs w:val="22"/>
        </w:rPr>
        <w:t xml:space="preserve">Index Terms — Adversarial examples, adversarial attacks, adversarial training, robustness evaluation, FGSM, PGD, C&amp;W, AutoAttack, deep neural networks, defense mechanisms.</w:t>
      </w:r>
    </w:p>
    <w:p>
      <w:r>
        <w:t xml:space="preserve"/>
      </w:r>
    </w:p>
    <w:p>
      <w:pPr>
        <w:pStyle w:val="Heading1"/>
        <w:spacing w:after="120" w:before="300"/>
      </w:pPr>
      <w:r>
        <w:rPr>
          <w:rFonts w:ascii="Times New Roman" w:cs="Times New Roman" w:eastAsia="Times New Roman" w:hAnsi="Times New Roman"/>
          <w:b/>
          <w:bCs/>
          <w:sz w:val="28"/>
          <w:szCs w:val="28"/>
        </w:rPr>
        <w:t xml:space="preserve">I. Introduction</w:t>
      </w:r>
    </w:p>
    <w:p>
      <w:pPr>
        <w:spacing w:after="140"/>
        <w:jc w:val="both"/>
      </w:pPr>
      <w:r>
        <w:rPr>
          <w:rFonts w:ascii="Times New Roman" w:cs="Times New Roman" w:eastAsia="Times New Roman" w:hAnsi="Times New Roman"/>
          <w:sz w:val="22"/>
          <w:szCs w:val="22"/>
        </w:rPr>
        <w:t xml:space="preserve">It has become somewhat routine, in ML research, to open a paper by listing applications where the technology matters. Autonomous vehicles, hospital imaging systems, face recognition—we list them too, because the adversarial example problem is genuinely acute in all of them. But the more useful framing might be this: DNNs in these settings are not toys, and their failure modes are not academic curiosities. A classifier that can be fooled by a barely-perceptible change to a stop sign, or a chest X-ray, or a passport photo, is not a robustly deployed system—regardless of its clean-accuracy benchmark.</w:t>
      </w:r>
    </w:p>
    <w:p>
      <w:pPr>
        <w:spacing w:after="140"/>
        <w:jc w:val="both"/>
      </w:pPr>
      <w:r>
        <w:rPr>
          <w:rFonts w:ascii="Times New Roman" w:cs="Times New Roman" w:eastAsia="Times New Roman" w:hAnsi="Times New Roman"/>
          <w:sz w:val="22"/>
          <w:szCs w:val="22"/>
        </w:rPr>
        <w:t xml:space="preserve">The mechanics of the vulnerability are by now reasonably well understood. Neural network decision boundaries in high-dimensional space are not as smooth or well-separated as test-set accuracy implies. Adversarial perturbations exploit this geometry, nudging inputs across boundaries while remaining within imperceptibility thresholds for humans. What makes this especially awkward from a security standpoint is transferability: examples crafted to fool one model tend to fool others, even structurally different ones, at surprisingly high rates. This means an attacker does not need access to the target model—a proxy will often do.</w:t>
      </w:r>
    </w:p>
    <w:p>
      <w:pPr>
        <w:spacing w:after="140"/>
        <w:jc w:val="both"/>
      </w:pPr>
      <w:r>
        <w:rPr>
          <w:rFonts w:ascii="Times New Roman" w:cs="Times New Roman" w:eastAsia="Times New Roman" w:hAnsi="Times New Roman"/>
          <w:sz w:val="22"/>
          <w:szCs w:val="22"/>
        </w:rPr>
        <w:t xml:space="preserve">Defense research has kept pace, at least partially. Adversarial training remains the most reliable mitigation, certified defenses offer provable guarantees under restricted threat models, and various preprocessing approaches have been explored. The harder problem is evaluation: without consistent tooling, it is genuinely difficult to know whether a reported robustness number reflects the method or the attack selection. Weak attacks produce optimistic numbers; strong attacks expose the real picture. Practitioners attempting to assess a deployed system's robustness face a fragmented landscape of incompatible libraries, inconsistent protocols, and almost no dual-domain (vision + NLP) infrastructure.</w:t>
      </w:r>
    </w:p>
    <w:p>
      <w:pPr>
        <w:pStyle w:val="Heading2"/>
        <w:spacing w:after="100" w:before="240"/>
      </w:pPr>
      <w:r>
        <w:rPr>
          <w:rFonts w:ascii="Times New Roman" w:cs="Times New Roman" w:eastAsia="Times New Roman" w:hAnsi="Times New Roman"/>
          <w:b/>
          <w:bCs/>
          <w:sz w:val="24"/>
          <w:szCs w:val="24"/>
        </w:rPr>
        <w:t xml:space="preserve">A. What the Problem Actually Looks Like</w:t>
      </w:r>
    </w:p>
    <w:p>
      <w:pPr>
        <w:spacing w:after="140"/>
        <w:jc w:val="both"/>
      </w:pPr>
      <w:r>
        <w:rPr>
          <w:rFonts w:ascii="Times New Roman" w:cs="Times New Roman" w:eastAsia="Times New Roman" w:hAnsi="Times New Roman"/>
          <w:sz w:val="22"/>
          <w:szCs w:val="22"/>
        </w:rPr>
        <w:t xml:space="preserve">Attack implementations are the first issue. FGSM lives in one library, PGD in another, AutoAttack in a third—each with different parameter conventions, normalization assumptions, and output formats. Running a fair head-to-head comparison requires either substantial glue code or accepting that conditions aren't truly equivalent. Neither is satisfying.</w:t>
      </w:r>
    </w:p>
    <w:p>
      <w:pPr>
        <w:spacing w:after="140"/>
        <w:jc w:val="both"/>
      </w:pPr>
      <w:r>
        <w:rPr>
          <w:rFonts w:ascii="Times New Roman" w:cs="Times New Roman" w:eastAsia="Times New Roman" w:hAnsi="Times New Roman"/>
          <w:sz w:val="22"/>
          <w:szCs w:val="22"/>
        </w:rPr>
        <w:t xml:space="preserve">NLP coverage is the second. The adversarial robustness literature is overwhelmingly vision-focused. ImageNet and CIFAR-10 dominate; NLP adversarial attacks—despite widespread deployment of language models in sentiment classification, translation, and moderation—are comparatively understudied, and cross-domain comparisons are nearly nonexistent. We still do not have good intuitions about whether architectural robustness lessons from vision transfer to language.</w:t>
      </w:r>
    </w:p>
    <w:p>
      <w:pPr>
        <w:spacing w:after="140"/>
        <w:jc w:val="both"/>
      </w:pPr>
      <w:r>
        <w:rPr>
          <w:rFonts w:ascii="Times New Roman" w:cs="Times New Roman" w:eastAsia="Times New Roman" w:hAnsi="Times New Roman"/>
          <w:sz w:val="22"/>
          <w:szCs w:val="22"/>
        </w:rPr>
        <w:t xml:space="preserve">Production infrastructure is the third. Research code tends to be written to demonstrate an idea, not to run in production. Missing pieces typically include: caching of computed adversarial examples across runs, graceful fallback when an attack times out or fails, adaptive hyperparameter adjustment, batch processing, and persistent logging. Bridging the gap between a GitHub repository and a deployed evaluation tool is more work than it should be.</w:t>
      </w:r>
    </w:p>
    <w:p>
      <w:pPr>
        <w:pStyle w:val="Heading2"/>
        <w:spacing w:after="100" w:before="240"/>
      </w:pPr>
      <w:r>
        <w:rPr>
          <w:rFonts w:ascii="Times New Roman" w:cs="Times New Roman" w:eastAsia="Times New Roman" w:hAnsi="Times New Roman"/>
          <w:b/>
          <w:bCs/>
          <w:sz w:val="24"/>
          <w:szCs w:val="24"/>
        </w:rPr>
        <w:t xml:space="preserve">B. What CERBERUS Does</w:t>
      </w:r>
    </w:p>
    <w:p>
      <w:pPr>
        <w:spacing w:after="140"/>
        <w:jc w:val="both"/>
      </w:pPr>
      <w:r>
        <w:rPr>
          <w:rFonts w:ascii="Times New Roman" w:cs="Times New Roman" w:eastAsia="Times New Roman" w:hAnsi="Times New Roman"/>
          <w:sz w:val="22"/>
          <w:szCs w:val="22"/>
        </w:rPr>
        <w:t xml:space="preserve">CERBERUS is built around a unified attack backend that handles ten attack algorithms through a single dispatcher interface. Each method exposes identical inputs and outputs; gradient availability determines which sub-pool of attacks is selected, and timeout-based fallback ensures evaluations complete even when a primary attack fails. Parameter auto-tuning reduces the burden on the user, and second-order variants are implemented for gradient-based methods.</w:t>
      </w:r>
    </w:p>
    <w:p>
      <w:pPr>
        <w:spacing w:after="140"/>
        <w:jc w:val="both"/>
      </w:pPr>
      <w:r>
        <w:rPr>
          <w:rFonts w:ascii="Times New Roman" w:cs="Times New Roman" w:eastAsia="Times New Roman" w:hAnsi="Times New Roman"/>
          <w:sz w:val="22"/>
          <w:szCs w:val="22"/>
        </w:rPr>
        <w:t xml:space="preserve">The framework is, to our knowledge, the first to run large-scale comparative evaluation across both vision and NLP in a single consistent environment—130+ scenarios, nine vision architectures on CIFAR-10, four NLP architectures on AG News, same evaluation protocol throughout. The defense side implements mixed-loss adversarial training with configurable loss weighting, cosine learning rate scheduling, and checkpoint management. On ResNet-18, this achieved an 18% robustness lift (68% to 78%) with less than 3% clean accuracy loss.</w:t>
      </w:r>
    </w:p>
    <w:p>
      <w:pPr>
        <w:spacing w:after="140"/>
        <w:jc w:val="both"/>
      </w:pPr>
      <w:r>
        <w:rPr>
          <w:rFonts w:ascii="Times New Roman" w:cs="Times New Roman" w:eastAsia="Times New Roman" w:hAnsi="Times New Roman"/>
          <w:sz w:val="22"/>
          <w:szCs w:val="22"/>
        </w:rPr>
        <w:t xml:space="preserve">Beyond attack success rates, we track certified robustness bounds, transferability statistics, and architecture-specific vulnerability profiles. All hyperparameters, random seeds, dataset splits, and model checkpoints are documented for exact reproducibility. The backend architecture is modular: adding a new attack or defense means implementing a defined interface, not modifying core logic.</w:t>
      </w:r>
    </w:p>
    <w:p>
      <w:r>
        <w:t xml:space="preserve"/>
      </w:r>
    </w:p>
    <w:p>
      <w:pPr>
        <w:pStyle w:val="Heading1"/>
        <w:spacing w:after="120" w:before="300"/>
      </w:pPr>
      <w:r>
        <w:rPr>
          <w:rFonts w:ascii="Times New Roman" w:cs="Times New Roman" w:eastAsia="Times New Roman" w:hAnsi="Times New Roman"/>
          <w:b/>
          <w:bCs/>
          <w:sz w:val="28"/>
          <w:szCs w:val="28"/>
        </w:rPr>
        <w:t xml:space="preserve">II. Related Work</w:t>
      </w:r>
    </w:p>
    <w:p>
      <w:pPr>
        <w:pStyle w:val="Heading2"/>
        <w:spacing w:after="100" w:before="240"/>
      </w:pPr>
      <w:r>
        <w:rPr>
          <w:rFonts w:ascii="Times New Roman" w:cs="Times New Roman" w:eastAsia="Times New Roman" w:hAnsi="Times New Roman"/>
          <w:b/>
          <w:bCs/>
          <w:sz w:val="24"/>
          <w:szCs w:val="24"/>
        </w:rPr>
        <w:t xml:space="preserve">A. Adversarial Attack Methods</w:t>
      </w:r>
    </w:p>
    <w:p>
      <w:pPr>
        <w:spacing w:after="80" w:before="180"/>
      </w:pPr>
      <w:r>
        <w:rPr>
          <w:rFonts w:ascii="Times New Roman" w:cs="Times New Roman" w:eastAsia="Times New Roman" w:hAnsi="Times New Roman"/>
          <w:b/>
          <w:bCs/>
          <w:i/>
          <w:iCs/>
          <w:sz w:val="22"/>
          <w:szCs w:val="22"/>
        </w:rPr>
        <w:t xml:space="preserve">1) Gradient-Based Attacks</w:t>
      </w:r>
    </w:p>
    <w:p>
      <w:pPr>
        <w:spacing w:after="140"/>
        <w:jc w:val="both"/>
      </w:pPr>
      <w:r>
        <w:rPr>
          <w:rFonts w:ascii="Times New Roman" w:cs="Times New Roman" w:eastAsia="Times New Roman" w:hAnsi="Times New Roman"/>
          <w:sz w:val="22"/>
          <w:szCs w:val="22"/>
        </w:rPr>
        <w:t xml:space="preserve">The earliest practical gradient-based attack, FGSM [1], computes perturbations in a single step by following the sign of the loss gradient:</w:t>
      </w:r>
    </w:p>
    <w:p>
      <w:pPr>
        <w:spacing w:after="140"/>
        <w:jc w:val="both"/>
      </w:pPr>
      <w:r>
        <w:rPr>
          <w:rFonts w:ascii="Times New Roman" w:cs="Times New Roman" w:eastAsia="Times New Roman" w:hAnsi="Times New Roman"/>
          <w:i/>
          <w:iCs/>
          <w:sz w:val="22"/>
          <w:szCs w:val="22"/>
        </w:rPr>
        <w:t xml:space="preserve">x_adv = x + ε · sign(∇_x L(x, y))    (1)</w:t>
      </w:r>
    </w:p>
    <w:p>
      <w:pPr>
        <w:spacing w:after="140"/>
        <w:jc w:val="both"/>
      </w:pPr>
      <w:r>
        <w:rPr>
          <w:rFonts w:ascii="Times New Roman" w:cs="Times New Roman" w:eastAsia="Times New Roman" w:hAnsi="Times New Roman"/>
          <w:sz w:val="22"/>
          <w:szCs w:val="22"/>
        </w:rPr>
        <w:t xml:space="preserve">One forward pass and one backward pass is all it takes—which is both its strength (speed) and its weakness (limited effectiveness). Many models retain over 70% accuracy under FGSM, which makes it a useful baseline but a poor worst-case evaluator.</w:t>
      </w:r>
    </w:p>
    <w:p>
      <w:pPr>
        <w:spacing w:after="140"/>
        <w:jc w:val="both"/>
      </w:pPr>
      <w:r>
        <w:rPr>
          <w:rFonts w:ascii="Times New Roman" w:cs="Times New Roman" w:eastAsia="Times New Roman" w:hAnsi="Times New Roman"/>
          <w:sz w:val="22"/>
          <w:szCs w:val="22"/>
        </w:rPr>
        <w:t xml:space="preserve">PGD [2] extends FGSM iteratively, projecting each step back onto the ε-ball:</w:t>
      </w:r>
    </w:p>
    <w:p>
      <w:pPr>
        <w:spacing w:after="140"/>
        <w:jc w:val="both"/>
      </w:pPr>
      <w:r>
        <w:rPr>
          <w:rFonts w:ascii="Times New Roman" w:cs="Times New Roman" w:eastAsia="Times New Roman" w:hAnsi="Times New Roman"/>
          <w:i/>
          <w:iCs/>
          <w:sz w:val="22"/>
          <w:szCs w:val="22"/>
        </w:rPr>
        <w:t xml:space="preserve">x_{t+1} = Π_{B∞(x,ε)}(x_t + α · sign(∇_x L(x_t, y)))    (2)</w:t>
      </w:r>
    </w:p>
    <w:p>
      <w:pPr>
        <w:spacing w:after="140"/>
        <w:jc w:val="both"/>
      </w:pPr>
      <w:r>
        <w:rPr>
          <w:rFonts w:ascii="Times New Roman" w:cs="Times New Roman" w:eastAsia="Times New Roman" w:hAnsi="Times New Roman"/>
          <w:sz w:val="22"/>
          <w:szCs w:val="22"/>
        </w:rPr>
        <w:t xml:space="preserve">Running for T = 100 iterations with step size α = 0.003·ε, PGD consistently finds stronger adversarial examples than its single-step predecessor. It has become the de facto standard for first-order robustness evaluation, partly because Madry et al. [2] provided convincing theoretical grounding.</w:t>
      </w:r>
    </w:p>
    <w:p>
      <w:pPr>
        <w:spacing w:after="140"/>
        <w:jc w:val="both"/>
      </w:pPr>
      <w:r>
        <w:rPr>
          <w:rFonts w:ascii="Times New Roman" w:cs="Times New Roman" w:eastAsia="Times New Roman" w:hAnsi="Times New Roman"/>
          <w:sz w:val="22"/>
          <w:szCs w:val="22"/>
        </w:rPr>
        <w:t xml:space="preserve">C&amp;W [3] takes a different route, posing the problem as constrained optimization with a tanh change of variables to avoid explicit box constraints:</w:t>
      </w:r>
    </w:p>
    <w:p>
      <w:pPr>
        <w:spacing w:after="140"/>
        <w:jc w:val="both"/>
      </w:pPr>
      <w:r>
        <w:rPr>
          <w:rFonts w:ascii="Times New Roman" w:cs="Times New Roman" w:eastAsia="Times New Roman" w:hAnsi="Times New Roman"/>
          <w:i/>
          <w:iCs/>
          <w:sz w:val="22"/>
          <w:szCs w:val="22"/>
        </w:rPr>
        <w:t xml:space="preserve">min_w  ||½(tanh(w)+1) − x||²₂ + c · f(½(tanh(w)+1))    (3)</w:t>
      </w:r>
    </w:p>
    <w:p>
      <w:pPr>
        <w:spacing w:after="140"/>
        <w:jc w:val="both"/>
      </w:pPr>
      <w:r>
        <w:rPr>
          <w:rFonts w:ascii="Times New Roman" w:cs="Times New Roman" w:eastAsia="Times New Roman" w:hAnsi="Times New Roman"/>
          <w:sz w:val="22"/>
          <w:szCs w:val="22"/>
        </w:rPr>
        <w:t xml:space="preserve">The constant c is tuned via binary search across outer iterations. In practice, C&amp;W finds adversarial examples that survive many defenses and regularly exceeds 90% attack success [3]. The cost is runtime—200 inner iterations per binary search step is not fast.</w:t>
      </w:r>
    </w:p>
    <w:p>
      <w:pPr>
        <w:spacing w:after="140"/>
        <w:jc w:val="both"/>
      </w:pPr>
      <w:r>
        <w:rPr>
          <w:rFonts w:ascii="Times New Roman" w:cs="Times New Roman" w:eastAsia="Times New Roman" w:hAnsi="Times New Roman"/>
          <w:sz w:val="22"/>
          <w:szCs w:val="22"/>
        </w:rPr>
        <w:t xml:space="preserve">DeepFool [4] looks for the smallest perturbation that crosses the decision boundary, using a local linear approximation at each step:</w:t>
      </w:r>
    </w:p>
    <w:p>
      <w:pPr>
        <w:spacing w:after="140"/>
        <w:jc w:val="both"/>
      </w:pPr>
      <w:r>
        <w:rPr>
          <w:rFonts w:ascii="Times New Roman" w:cs="Times New Roman" w:eastAsia="Times New Roman" w:hAnsi="Times New Roman"/>
          <w:i/>
          <w:iCs/>
          <w:sz w:val="22"/>
          <w:szCs w:val="22"/>
        </w:rPr>
        <w:t xml:space="preserve">δ = −f(x)/||∇f(x)||²₂ · ∇f(x)    (4)</w:t>
      </w:r>
    </w:p>
    <w:p>
      <w:pPr>
        <w:spacing w:after="140"/>
        <w:jc w:val="both"/>
      </w:pPr>
      <w:r>
        <w:rPr>
          <w:rFonts w:ascii="Times New Roman" w:cs="Times New Roman" w:eastAsia="Times New Roman" w:hAnsi="Times New Roman"/>
          <w:sz w:val="22"/>
          <w:szCs w:val="22"/>
        </w:rPr>
        <w:t xml:space="preserve">Convergence typically happens in 20 to 50 iterations. DeepFool is less about maximizing attack success and more about measuring the geometric margin between clean inputs and the nearest decision boundary—useful for certified robustness analysis.</w:t>
      </w:r>
    </w:p>
    <w:p>
      <w:pPr>
        <w:spacing w:after="140"/>
        <w:jc w:val="both"/>
      </w:pPr>
      <w:r>
        <w:rPr>
          <w:rFonts w:ascii="Times New Roman" w:cs="Times New Roman" w:eastAsia="Times New Roman" w:hAnsi="Times New Roman"/>
          <w:sz w:val="22"/>
          <w:szCs w:val="22"/>
        </w:rPr>
        <w:t xml:space="preserve">JSMA [5] approaches the problem from a different angle entirely, using Jacobian-based saliency maps to find which input dimensions most influence the target class, then perturbing those selectively. It achieves misclassification with fewer total perturbations than pixel-global methods, though it tends to be slow and works best in targeted attack settings.</w:t>
      </w:r>
    </w:p>
    <w:p>
      <w:pPr>
        <w:spacing w:after="80" w:before="180"/>
      </w:pPr>
      <w:r>
        <w:rPr>
          <w:rFonts w:ascii="Times New Roman" w:cs="Times New Roman" w:eastAsia="Times New Roman" w:hAnsi="Times New Roman"/>
          <w:b/>
          <w:bCs/>
          <w:i/>
          <w:iCs/>
          <w:sz w:val="22"/>
          <w:szCs w:val="22"/>
        </w:rPr>
        <w:t xml:space="preserve">2) Advanced Black-Box and Ensemble Attacks</w:t>
      </w:r>
    </w:p>
    <w:p>
      <w:pPr>
        <w:spacing w:after="140"/>
        <w:jc w:val="both"/>
      </w:pPr>
      <w:r>
        <w:rPr>
          <w:rFonts w:ascii="Times New Roman" w:cs="Times New Roman" w:eastAsia="Times New Roman" w:hAnsi="Times New Roman"/>
          <w:sz w:val="22"/>
          <w:szCs w:val="22"/>
        </w:rPr>
        <w:t xml:space="preserve">AutoAttack [6] is perhaps the most practically significant development in robustness evaluation methodology. Rather than introducing a new attack mechanism, it assembles four complementary methods—APGD-CE, APGD-DLR, FAB, and Square—into a parameter-free ensemble, taking the maximum attack success across all four:</w:t>
      </w:r>
    </w:p>
    <w:p>
      <w:pPr>
        <w:spacing w:after="140"/>
        <w:jc w:val="both"/>
      </w:pPr>
      <w:r>
        <w:rPr>
          <w:rFonts w:ascii="Times New Roman" w:cs="Times New Roman" w:eastAsia="Times New Roman" w:hAnsi="Times New Roman"/>
          <w:i/>
          <w:iCs/>
          <w:sz w:val="22"/>
          <w:szCs w:val="22"/>
        </w:rPr>
        <w:t xml:space="preserve">ASR_AutoAttack = max_{i ∈ {APGD-CE, APGD-DLR, FAB, Square}} ASR_i    (6)</w:t>
      </w:r>
    </w:p>
    <w:p>
      <w:pPr>
        <w:spacing w:after="140"/>
        <w:jc w:val="both"/>
      </w:pPr>
      <w:r>
        <w:rPr>
          <w:rFonts w:ascii="Times New Roman" w:cs="Times New Roman" w:eastAsia="Times New Roman" w:hAnsi="Times New Roman"/>
          <w:sz w:val="22"/>
          <w:szCs w:val="22"/>
        </w:rPr>
        <w:t xml:space="preserve">The design goal is to defeat gradient masking—a phenomenon where defenses appear robust under gradient-based evaluation but fail against oblivious or score-based attacks. By including Square (which requires no gradient access), AutoAttack is resilient to this class of evaluation artifacts.</w:t>
      </w:r>
    </w:p>
    <w:p>
      <w:pPr>
        <w:spacing w:after="140"/>
        <w:jc w:val="both"/>
      </w:pPr>
      <w:r>
        <w:rPr>
          <w:rFonts w:ascii="Times New Roman" w:cs="Times New Roman" w:eastAsia="Times New Roman" w:hAnsi="Times New Roman"/>
          <w:sz w:val="22"/>
          <w:szCs w:val="22"/>
        </w:rPr>
        <w:t xml:space="preserve">Square Attack [7] samples random square patches in pixel space and refines them based on loss differences, with no gradient queries to the target model. This query efficiency makes it practical for evaluating systems where gradient access is unavailable or restricted.</w:t>
      </w:r>
    </w:p>
    <w:p>
      <w:pPr>
        <w:spacing w:after="140"/>
        <w:jc w:val="both"/>
      </w:pPr>
      <w:r>
        <w:rPr>
          <w:rFonts w:ascii="Times New Roman" w:cs="Times New Roman" w:eastAsia="Times New Roman" w:hAnsi="Times New Roman"/>
          <w:sz w:val="22"/>
          <w:szCs w:val="22"/>
        </w:rPr>
        <w:t xml:space="preserve">FAB [15] focuses specifically on finding minimal-norm adversarial perturbations near the decision boundary, using targeted attacks as the search strategy. It is particularly relevant for certified robustness evaluation where the perturbation budget directly determines whether a guarantee holds.</w:t>
      </w:r>
    </w:p>
    <w:p>
      <w:pPr>
        <w:pStyle w:val="Heading2"/>
        <w:spacing w:after="100" w:before="240"/>
      </w:pPr>
      <w:r>
        <w:rPr>
          <w:rFonts w:ascii="Times New Roman" w:cs="Times New Roman" w:eastAsia="Times New Roman" w:hAnsi="Times New Roman"/>
          <w:b/>
          <w:bCs/>
          <w:sz w:val="24"/>
          <w:szCs w:val="24"/>
        </w:rPr>
        <w:t xml:space="preserve">B. Defense Mechanisms</w:t>
      </w:r>
    </w:p>
    <w:p>
      <w:pPr>
        <w:spacing w:after="140"/>
        <w:jc w:val="both"/>
      </w:pPr>
      <w:r>
        <w:rPr>
          <w:rFonts w:ascii="Times New Roman" w:cs="Times New Roman" w:eastAsia="Times New Roman" w:hAnsi="Times New Roman"/>
          <w:sz w:val="22"/>
          <w:szCs w:val="22"/>
        </w:rPr>
        <w:t xml:space="preserve">Adversarial training [2] is the most empirically validated defense, and it works by solving a minimax problem during training:</w:t>
      </w:r>
    </w:p>
    <w:p>
      <w:pPr>
        <w:spacing w:after="140"/>
        <w:jc w:val="both"/>
      </w:pPr>
      <w:r>
        <w:rPr>
          <w:rFonts w:ascii="Times New Roman" w:cs="Times New Roman" w:eastAsia="Times New Roman" w:hAnsi="Times New Roman"/>
          <w:i/>
          <w:iCs/>
          <w:sz w:val="22"/>
          <w:szCs w:val="22"/>
        </w:rPr>
        <w:t xml:space="preserve">min_θ E_{(x,y)~D} [max_{δ:||δ||∞≤ε} L(θ, x+δ, y)]    (9)</w:t>
      </w:r>
    </w:p>
    <w:p>
      <w:pPr>
        <w:spacing w:after="140"/>
        <w:jc w:val="both"/>
      </w:pPr>
      <w:r>
        <w:rPr>
          <w:rFonts w:ascii="Times New Roman" w:cs="Times New Roman" w:eastAsia="Times New Roman" w:hAnsi="Times New Roman"/>
          <w:sz w:val="22"/>
          <w:szCs w:val="22"/>
        </w:rPr>
        <w:t xml:space="preserve">The inner maximization generates adversarial examples on the fly; the outer minimization trains the model to classify them correctly. The catch is cost—training time increases by roughly 7–10x compared to standard training, and clean accuracy typically drops 5–10% [9]. Whether that trade-off is acceptable depends heavily on the deployment context.</w:t>
      </w:r>
    </w:p>
    <w:p>
      <w:pPr>
        <w:spacing w:after="140"/>
        <w:jc w:val="both"/>
      </w:pPr>
      <w:r>
        <w:rPr>
          <w:rFonts w:ascii="Times New Roman" w:cs="Times New Roman" w:eastAsia="Times New Roman" w:hAnsi="Times New Roman"/>
          <w:sz w:val="22"/>
          <w:szCs w:val="22"/>
        </w:rPr>
        <w:t xml:space="preserve">Mixed-loss adversarial training [17] softens the accuracy penalty by blending clean and adversarial loss terms:</w:t>
      </w:r>
    </w:p>
    <w:p>
      <w:pPr>
        <w:spacing w:after="140"/>
        <w:jc w:val="both"/>
      </w:pPr>
      <w:r>
        <w:rPr>
          <w:rFonts w:ascii="Times New Roman" w:cs="Times New Roman" w:eastAsia="Times New Roman" w:hAnsi="Times New Roman"/>
          <w:i/>
          <w:iCs/>
          <w:sz w:val="22"/>
          <w:szCs w:val="22"/>
        </w:rPr>
        <w:t xml:space="preserve">L_mixed = α · L(x,y) + (1−α) · L(x_adv, y)    (10)</w:t>
      </w:r>
    </w:p>
    <w:p>
      <w:pPr>
        <w:spacing w:after="140"/>
        <w:jc w:val="both"/>
      </w:pPr>
      <w:r>
        <w:rPr>
          <w:rFonts w:ascii="Times New Roman" w:cs="Times New Roman" w:eastAsia="Times New Roman" w:hAnsi="Times New Roman"/>
          <w:sz w:val="22"/>
          <w:szCs w:val="22"/>
        </w:rPr>
        <w:t xml:space="preserve">Setting α = 0.5 in our experiments yielded an average 9.1% robustness improvement with under 2.5% clean accuracy loss—a considerably better trade-off than the pure adversarial training baseline, which is α = 0.</w:t>
      </w:r>
    </w:p>
    <w:p>
      <w:pPr>
        <w:spacing w:after="140"/>
        <w:jc w:val="both"/>
      </w:pPr>
      <w:r>
        <w:rPr>
          <w:rFonts w:ascii="Times New Roman" w:cs="Times New Roman" w:eastAsia="Times New Roman" w:hAnsi="Times New Roman"/>
          <w:sz w:val="22"/>
          <w:szCs w:val="22"/>
        </w:rPr>
        <w:t xml:space="preserve">Certified defenses via randomized smoothing [8] offer something adversarial training cannot: a provable guarantee that predictions will not change within a certified radius around any given input. The price is computational—inference requires averaging over many noisy samples, which increases latency by 10–100x in typical configurations. For NLP, the discrete token space means analogous guarantees are much harder to construct.</w:t>
      </w:r>
    </w:p>
    <w:p>
      <w:pPr>
        <w:spacing w:after="140"/>
        <w:jc w:val="both"/>
      </w:pPr>
      <w:r>
        <w:rPr>
          <w:rFonts w:ascii="Times New Roman" w:cs="Times New Roman" w:eastAsia="Times New Roman" w:hAnsi="Times New Roman"/>
          <w:sz w:val="22"/>
          <w:szCs w:val="22"/>
        </w:rPr>
        <w:t xml:space="preserve">TRADES [16] provides a theoretically principled formulation that minimizes cross-entropy loss jointly with a KL divergence term between clean and adversarial logits. It consistently produces better accuracy-robustness trade-offs than standard adversarial training in benchmark evaluations.</w:t>
      </w:r>
    </w:p>
    <w:p>
      <w:r>
        <w:t xml:space="preserve"/>
      </w:r>
    </w:p>
    <w:p>
      <w:pPr>
        <w:pStyle w:val="Heading1"/>
        <w:spacing w:after="120" w:before="300"/>
      </w:pPr>
      <w:r>
        <w:rPr>
          <w:rFonts w:ascii="Times New Roman" w:cs="Times New Roman" w:eastAsia="Times New Roman" w:hAnsi="Times New Roman"/>
          <w:b/>
          <w:bCs/>
          <w:sz w:val="28"/>
          <w:szCs w:val="28"/>
        </w:rPr>
        <w:t xml:space="preserve">III. Backend Architecture and Implementation</w:t>
      </w:r>
    </w:p>
    <w:p>
      <w:pPr>
        <w:pStyle w:val="Heading2"/>
        <w:spacing w:after="100" w:before="240"/>
      </w:pPr>
      <w:r>
        <w:rPr>
          <w:rFonts w:ascii="Times New Roman" w:cs="Times New Roman" w:eastAsia="Times New Roman" w:hAnsi="Times New Roman"/>
          <w:b/>
          <w:bCs/>
          <w:sz w:val="24"/>
          <w:szCs w:val="24"/>
        </w:rPr>
        <w:t xml:space="preserve">A. System Overview</w:t>
      </w:r>
    </w:p>
    <w:p>
      <w:pPr>
        <w:spacing w:after="140"/>
        <w:jc w:val="both"/>
      </w:pPr>
      <w:r>
        <w:rPr>
          <w:rFonts w:ascii="Times New Roman" w:cs="Times New Roman" w:eastAsia="Times New Roman" w:hAnsi="Times New Roman"/>
          <w:sz w:val="22"/>
          <w:szCs w:val="22"/>
        </w:rPr>
        <w:t xml:space="preserve">CERBERUS is organized across four layers. At the base is a SQLite data layer storing CIFAR-10 images, AG News articles, and experiment logs. Above that sits a PyTorch 2.0 ML pipeline handling gradient computation, GPU acceleration, and distributed inference. The application layer contains the attack engine dispatcher, the defense training pipeline, and the model zoo. A React 18.2 frontend provides an interactive dashboard for configuring and monitoring evaluation runs.</w:t>
      </w:r>
    </w:p>
    <w:p>
      <w:pPr>
        <w:spacing w:after="140"/>
        <w:jc w:val="both"/>
      </w:pPr>
      <w:r>
        <w:rPr>
          <w:rFonts w:ascii="Times New Roman" w:cs="Times New Roman" w:eastAsia="Times New Roman" w:hAnsi="Times New Roman"/>
          <w:sz w:val="22"/>
          <w:szCs w:val="22"/>
        </w:rPr>
        <w:t xml:space="preserve">The attack engine works as a dispatcher: it checks whether gradient access is available for the target model, selects from the appropriate attack pool (gradient-based or black-box), attempts execution, and falls back to a simpler method on timeout. All ten attacks share a unified interface, which means evaluation code is decoupled from attack implementation details.</w:t>
      </w:r>
    </w:p>
    <w:p>
      <w:pPr>
        <w:pStyle w:val="Heading2"/>
        <w:spacing w:after="100" w:before="240"/>
      </w:pPr>
      <w:r>
        <w:rPr>
          <w:rFonts w:ascii="Times New Roman" w:cs="Times New Roman" w:eastAsia="Times New Roman" w:hAnsi="Times New Roman"/>
          <w:b/>
          <w:bCs/>
          <w:sz w:val="24"/>
          <w:szCs w:val="24"/>
        </w:rPr>
        <w:t xml:space="preserve">B. Attack Implementations</w:t>
      </w:r>
    </w:p>
    <w:p>
      <w:pPr>
        <w:spacing w:after="140"/>
        <w:jc w:val="both"/>
      </w:pPr>
      <w:r>
        <w:rPr>
          <w:rFonts w:ascii="Times New Roman" w:cs="Times New Roman" w:eastAsia="Times New Roman" w:hAnsi="Times New Roman"/>
          <w:sz w:val="22"/>
          <w:szCs w:val="22"/>
        </w:rPr>
        <w:t xml:space="preserve">FGSM computes the gradient of cross-entropy loss with respect to the input, takes the sign, scales by ε, and clamps the result to [0,1]. One forward pass, one backward pass, done. The PGD backend runs this process iteratively—100 steps by default, step size α = 0.003·ε, initialized from a random uniform perturbation within the ε-ball, with projection after each step to keep the perturbation bounded. Memory-efficient gradient checkpointing is used for larger batch sizes.</w:t>
      </w:r>
    </w:p>
    <w:p>
      <w:pPr>
        <w:spacing w:after="140"/>
        <w:jc w:val="both"/>
      </w:pPr>
      <w:r>
        <w:rPr>
          <w:rFonts w:ascii="Times New Roman" w:cs="Times New Roman" w:eastAsia="Times New Roman" w:hAnsi="Times New Roman"/>
          <w:sz w:val="22"/>
          <w:szCs w:val="22"/>
        </w:rPr>
        <w:t xml:space="preserve">C&amp;W uses Adam to optimize the tanh-reparameterized perturbation over 200 inner iterations, with binary search over the constant c running for 10 outer steps. DeepFool iterates the linearized boundary approximation until the perturbed point crosses to a different class, typically converging in under 50 steps. JSMA computes the full input-output Jacobian and iteratively perturbs the highest-saliency feature toward the target class.</w:t>
      </w:r>
    </w:p>
    <w:p>
      <w:pPr>
        <w:pStyle w:val="Heading2"/>
        <w:spacing w:after="100" w:before="240"/>
      </w:pPr>
      <w:r>
        <w:rPr>
          <w:rFonts w:ascii="Times New Roman" w:cs="Times New Roman" w:eastAsia="Times New Roman" w:hAnsi="Times New Roman"/>
          <w:b/>
          <w:bCs/>
          <w:sz w:val="24"/>
          <w:szCs w:val="24"/>
        </w:rPr>
        <w:t xml:space="preserve">C. Defense Training Backend</w:t>
      </w:r>
    </w:p>
    <w:p>
      <w:pPr>
        <w:spacing w:after="140"/>
        <w:jc w:val="both"/>
      </w:pPr>
      <w:r>
        <w:rPr>
          <w:rFonts w:ascii="Times New Roman" w:cs="Times New Roman" w:eastAsia="Times New Roman" w:hAnsi="Times New Roman"/>
          <w:sz w:val="22"/>
          <w:szCs w:val="22"/>
        </w:rPr>
        <w:t xml:space="preserve">At each training step, the defense backend calls PGD with T = 100 and ε = 0.03 to generate an adversarial version of the current batch, then computes both clean and adversarial cross-entropy losses, combines them with the configured α weighting, and updates the model with Adam. Cosine annealing with warm restarts schedules the learning rate between 0.0001 and 0.001 over 50-epoch cycles. Checkpoints are written every 5 epochs; the final model is selected on validation robustness, not training loss.</w:t>
      </w:r>
    </w:p>
    <w:p>
      <w:pPr>
        <w:pStyle w:val="Heading2"/>
        <w:spacing w:after="100" w:before="240"/>
      </w:pPr>
      <w:r>
        <w:rPr>
          <w:rFonts w:ascii="Times New Roman" w:cs="Times New Roman" w:eastAsia="Times New Roman" w:hAnsi="Times New Roman"/>
          <w:b/>
          <w:bCs/>
          <w:sz w:val="24"/>
          <w:szCs w:val="24"/>
        </w:rPr>
        <w:t xml:space="preserve">D. Model Zoo</w:t>
      </w:r>
    </w:p>
    <w:p>
      <w:pPr>
        <w:spacing w:after="140"/>
        <w:jc w:val="both"/>
      </w:pPr>
      <w:r>
        <w:rPr>
          <w:rFonts w:ascii="Times New Roman" w:cs="Times New Roman" w:eastAsia="Times New Roman" w:hAnsi="Times New Roman"/>
          <w:sz w:val="22"/>
          <w:szCs w:val="22"/>
        </w:rPr>
        <w:t xml:space="preserve">All vision architectures are ImageNet pre-trained and fine-tuned on CIFAR-10 for 100 epochs using SGD with momentum 0.9, weight decay 0.0005, and initial learning rate 0.1. NLP models are initialized with 300-dimensional GloVe embeddings, truncate or pad sequences to 150 tokens, and are trained from scratch on 120K AG News articles for four-class classification. Tables I and II list parameter counts and baseline accuracy for all thirteen architectures.</w:t>
      </w:r>
    </w:p>
    <w:p>
      <w:r>
        <w:t xml:space="preserve"/>
      </w:r>
    </w:p>
    <w:p>
      <w:pPr>
        <w:spacing w:after="80"/>
        <w:jc w:val="center"/>
      </w:pPr>
      <w:r>
        <w:rPr>
          <w:rFonts w:ascii="Times New Roman" w:cs="Times New Roman" w:eastAsia="Times New Roman" w:hAnsi="Times New Roman"/>
          <w:b/>
          <w:bCs/>
          <w:sz w:val="20"/>
          <w:szCs w:val="20"/>
        </w:rPr>
        <w:t xml:space="preserve">Table I. Vision Model Architectures: Parameter Count and Baseline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000"/>
        <w:gridCol w:w="2460"/>
      </w:tblGrid>
      <w:tr>
        <w:tc>
          <w:tcPr>
            <w:tcW w:type="dxa" w:w="27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Architecture</w:t>
            </w:r>
          </w:p>
        </w:tc>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Params</w:t>
            </w:r>
          </w:p>
        </w:tc>
        <w:tc>
          <w:tcPr>
            <w:tcW w:type="dxa" w:w="24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Accuracy</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ResNet-18</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CNN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11.2M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92.3%</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ResNet-50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CNN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25.6M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93.1%</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VGG-16</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CNN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138M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91.8%</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DenseNet-121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CNN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7.0M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93.5%</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MobileNetV2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 CNN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3.5M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90.2%</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EfficientNet-B0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 CNN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5.3M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91.9%</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Inception-V3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Inception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27M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92.8%</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ShuffleNet-V2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 CNN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2.3M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89.6%</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Vision Transformer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Transformer</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86M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92.7%</w:t>
            </w:r>
          </w:p>
        </w:tc>
      </w:tr>
    </w:tbl>
    <w:p>
      <w:r>
        <w:t xml:space="preserve"/>
      </w:r>
    </w:p>
    <w:p>
      <w:pPr>
        <w:spacing w:after="80"/>
        <w:jc w:val="center"/>
      </w:pPr>
      <w:r>
        <w:rPr>
          <w:rFonts w:ascii="Times New Roman" w:cs="Times New Roman" w:eastAsia="Times New Roman" w:hAnsi="Times New Roman"/>
          <w:b/>
          <w:bCs/>
          <w:sz w:val="20"/>
          <w:szCs w:val="20"/>
        </w:rPr>
        <w:t xml:space="preserve">Table II. NLP Model Architectures: Parameter Count and Baseline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000"/>
        <w:gridCol w:w="2460"/>
      </w:tblGrid>
      <w:tr>
        <w:tc>
          <w:tcPr>
            <w:tcW w:type="dxa" w:w="27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Architecture</w:t>
            </w:r>
          </w:p>
        </w:tc>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w:t>
            </w:r>
          </w:p>
        </w:tc>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Params</w:t>
            </w:r>
          </w:p>
        </w:tc>
        <w:tc>
          <w:tcPr>
            <w:tcW w:type="dxa" w:w="24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Accuracy</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TextCNN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Convolutional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24M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91.2%</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LSTM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Recurrent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15M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89.8%</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BiLSTM</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Bidirectional</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18M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90.6%</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Transformer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Attention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50M</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92.3%</w:t>
            </w:r>
          </w:p>
        </w:tc>
      </w:tr>
    </w:tbl>
    <w:p>
      <w:r>
        <w:t xml:space="preserve"/>
      </w:r>
    </w:p>
    <w:p>
      <w:pPr>
        <w:pStyle w:val="Heading1"/>
        <w:spacing w:after="120" w:before="300"/>
      </w:pPr>
      <w:r>
        <w:rPr>
          <w:rFonts w:ascii="Times New Roman" w:cs="Times New Roman" w:eastAsia="Times New Roman" w:hAnsi="Times New Roman"/>
          <w:b/>
          <w:bCs/>
          <w:sz w:val="28"/>
          <w:szCs w:val="28"/>
        </w:rPr>
        <w:t xml:space="preserve">IV. Experimental Evaluation</w:t>
      </w:r>
    </w:p>
    <w:p>
      <w:pPr>
        <w:pStyle w:val="Heading2"/>
        <w:spacing w:after="100" w:before="240"/>
      </w:pPr>
      <w:r>
        <w:rPr>
          <w:rFonts w:ascii="Times New Roman" w:cs="Times New Roman" w:eastAsia="Times New Roman" w:hAnsi="Times New Roman"/>
          <w:b/>
          <w:bCs/>
          <w:sz w:val="24"/>
          <w:szCs w:val="24"/>
        </w:rPr>
        <w:t xml:space="preserve">A. Setup and Methodology</w:t>
      </w:r>
    </w:p>
    <w:p>
      <w:pPr>
        <w:spacing w:after="140"/>
        <w:jc w:val="both"/>
      </w:pPr>
      <w:r>
        <w:rPr>
          <w:rFonts w:ascii="Times New Roman" w:cs="Times New Roman" w:eastAsia="Times New Roman" w:hAnsi="Times New Roman"/>
          <w:sz w:val="22"/>
          <w:szCs w:val="22"/>
        </w:rPr>
        <w:t xml:space="preserve">Vision experiments use CIFAR-10 (60K training, 10K test, 32×32, 10 classes). The perturbation budget is ε = 0.03—equivalent to 8 out of 255 pixel intensity levels in normalized [0,1] space, or roughly 2% pixel-level perturbation. Each attack runs against 1,000 randomly drawn test images, repeated across five random seeds with batch size 64. Attack success rate (ASR) counts the fraction of inputs that are misclassified post-perturbation; robustness is its complement.</w:t>
      </w:r>
    </w:p>
    <w:p>
      <w:pPr>
        <w:spacing w:after="140"/>
        <w:jc w:val="both"/>
      </w:pPr>
      <w:r>
        <w:rPr>
          <w:rFonts w:ascii="Times New Roman" w:cs="Times New Roman" w:eastAsia="Times New Roman" w:hAnsi="Times New Roman"/>
          <w:sz w:val="22"/>
          <w:szCs w:val="22"/>
        </w:rPr>
        <w:t xml:space="preserve">NLP experiments use AG News (120K articles, 4-class). Adversarial perturbations operate at the word level, substituting tokens with their nearest neighbors in GloVe embedding space (top-5 candidates), supplemented by character-level insertions, deletions, and substitutions. Each attack perturbs 10–20% of the input tokens. Evaluation runs on 1,000 test articles. Keeping the protocol identical across domains is an intentional design choice—it makes the vision-NLP gap interpretable rather than confounded by methodological differences.</w:t>
      </w:r>
    </w:p>
    <w:p>
      <w:pPr>
        <w:pStyle w:val="Heading2"/>
        <w:spacing w:after="100" w:before="240"/>
      </w:pPr>
      <w:r>
        <w:rPr>
          <w:rFonts w:ascii="Times New Roman" w:cs="Times New Roman" w:eastAsia="Times New Roman" w:hAnsi="Times New Roman"/>
          <w:b/>
          <w:bCs/>
          <w:sz w:val="24"/>
          <w:szCs w:val="24"/>
        </w:rPr>
        <w:t xml:space="preserve">B. Attack Effectiveness: Vision Models</w:t>
      </w:r>
    </w:p>
    <w:p>
      <w:pPr>
        <w:spacing w:after="140"/>
        <w:jc w:val="both"/>
      </w:pPr>
      <w:r>
        <w:rPr>
          <w:rFonts w:ascii="Times New Roman" w:cs="Times New Roman" w:eastAsia="Times New Roman" w:hAnsi="Times New Roman"/>
          <w:sz w:val="22"/>
          <w:szCs w:val="22"/>
        </w:rPr>
        <w:t xml:space="preserve">Table III shows attack success rates across four vision architectures at ε = 0.03. The range across attack methods is wider than we initially expected—19.3 percentage points separates AutoAttack (91.3% average) from JSMA (67.0%). That gap matters: a practitioner who evaluates robustness using only JSMA might walk away with a model they believe is 33% robust, when in reality it is closer to 9% against stronger methods.</w:t>
      </w:r>
    </w:p>
    <w:p>
      <w:pPr>
        <w:spacing w:after="140"/>
        <w:jc w:val="both"/>
      </w:pPr>
      <w:r>
        <w:rPr>
          <w:rFonts w:ascii="Times New Roman" w:cs="Times New Roman" w:eastAsia="Times New Roman" w:hAnsi="Times New Roman"/>
          <w:sz w:val="22"/>
          <w:szCs w:val="22"/>
        </w:rPr>
        <w:t xml:space="preserve">AutoAttack's lead over C&amp;W (90.4%) is modest, but the distinction is meaningful—AutoAttack's advantage is not raw power but rather its resistance to gradient masking. C&amp;W can be fooled by defenses that obfuscate gradients; AutoAttack, because it includes Square, cannot. PGD at 87.4% sits well above single-step FGSM at 72.5%, which is consistent with the general finding that iterative refinement pays off substantially.</w:t>
      </w:r>
    </w:p>
    <w:p>
      <w:pPr>
        <w:spacing w:after="140"/>
        <w:jc w:val="both"/>
      </w:pPr>
      <w:r>
        <w:rPr>
          <w:rFonts w:ascii="Times New Roman" w:cs="Times New Roman" w:eastAsia="Times New Roman" w:hAnsi="Times New Roman"/>
          <w:sz w:val="22"/>
          <w:szCs w:val="22"/>
        </w:rPr>
        <w:t xml:space="preserve">Looking across architectures rather than across attacks, MobileNetV2 shows the lowest average vulnerability (73.2% ASR), while ResNet-18 and ResNet-50 sit highest at around 82.1%. We do not have a clean explanation for why the compact mobile architecture holds up better; one hypothesis is that its efficiency constraints force it toward feature representations that happen to be less adversarially exploitable, but this warrants further investigation.</w:t>
      </w:r>
    </w:p>
    <w:p>
      <w:r>
        <w:t xml:space="preserve"/>
      </w:r>
    </w:p>
    <w:p>
      <w:pPr>
        <w:spacing w:after="80"/>
        <w:jc w:val="center"/>
      </w:pPr>
      <w:r>
        <w:rPr>
          <w:rFonts w:ascii="Times New Roman" w:cs="Times New Roman" w:eastAsia="Times New Roman" w:hAnsi="Times New Roman"/>
          <w:b/>
          <w:bCs/>
          <w:sz w:val="20"/>
          <w:szCs w:val="20"/>
        </w:rPr>
        <w:t xml:space="preserve">Table III. Attack Success Rates (%) on Vision Models at ε = 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30"/>
        <w:gridCol w:w="1530"/>
        <w:gridCol w:w="1500"/>
      </w:tblGrid>
      <w:t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Attack</w:t>
            </w:r>
          </w:p>
        </w:tc>
        <w:tc>
          <w:tcPr>
            <w:tcW w:type="dxa" w:w="15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ResNet-18</w:t>
            </w:r>
          </w:p>
        </w:tc>
        <w:tc>
          <w:tcPr>
            <w:tcW w:type="dxa" w:w="15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VGG-16</w:t>
            </w:r>
          </w:p>
        </w:tc>
        <w:tc>
          <w:tcPr>
            <w:tcW w:type="dxa" w:w="153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DenseNet</w:t>
            </w:r>
          </w:p>
        </w:tc>
        <w:tc>
          <w:tcPr>
            <w:tcW w:type="dxa" w:w="153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MobileV2</w:t>
            </w:r>
          </w:p>
        </w:tc>
        <w:tc>
          <w:tcPr>
            <w:tcW w:type="dxa" w:w="15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Avg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FGSM</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74.2%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71.5%</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72.8%</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68.9%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72.5%</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PGD</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89.3%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86.7%</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88.5%</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82.3%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87.4%</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C&amp;W</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91.7%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89.2%</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90.9%</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87.6%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90.4%</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DeepFool</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76.5%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74.3%</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75.9%</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71.2%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75.1%</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JSMA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68.9%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66.1%</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67.8%</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62.3%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67.0%</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AutoAttack</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92.1%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90.4%</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91.8%</w:t>
            </w:r>
          </w:p>
        </w:tc>
        <w:tc>
          <w:tcPr>
            <w:tcW w:type="dxa" w:w="15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89.2%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91.3%</w:t>
            </w:r>
          </w:p>
        </w:tc>
      </w:tr>
    </w:tbl>
    <w:p>
      <w:r>
        <w:t xml:space="preserve"/>
      </w:r>
    </w:p>
    <w:p>
      <w:pPr>
        <w:pStyle w:val="Heading2"/>
        <w:spacing w:after="100" w:before="240"/>
      </w:pPr>
      <w:r>
        <w:rPr>
          <w:rFonts w:ascii="Times New Roman" w:cs="Times New Roman" w:eastAsia="Times New Roman" w:hAnsi="Times New Roman"/>
          <w:b/>
          <w:bCs/>
          <w:sz w:val="24"/>
          <w:szCs w:val="24"/>
        </w:rPr>
        <w:t xml:space="preserve">C. Defense Effectiveness</w:t>
      </w:r>
    </w:p>
    <w:p>
      <w:pPr>
        <w:spacing w:after="140"/>
        <w:jc w:val="both"/>
      </w:pPr>
      <w:r>
        <w:rPr>
          <w:rFonts w:ascii="Times New Roman" w:cs="Times New Roman" w:eastAsia="Times New Roman" w:hAnsi="Times New Roman"/>
          <w:sz w:val="22"/>
          <w:szCs w:val="22"/>
        </w:rPr>
        <w:t xml:space="preserve">Table IV reports robustness before and after mixed-loss adversarial training (α = 0.5). For vision models, gains ranged from +9.4% on DenseNet-121 to +10.6% on VGG-16, with clean accuracy declining by at most 2.8%. These are not trivial improvements—a 10-point robustness gain achieved without a significant accuracy penalty is practically deployable.</w:t>
      </w:r>
    </w:p>
    <w:p>
      <w:pPr>
        <w:spacing w:after="140"/>
        <w:jc w:val="both"/>
      </w:pPr>
      <w:r>
        <w:rPr>
          <w:rFonts w:ascii="Times New Roman" w:cs="Times New Roman" w:eastAsia="Times New Roman" w:hAnsi="Times New Roman"/>
          <w:sz w:val="22"/>
          <w:szCs w:val="22"/>
        </w:rPr>
        <w:t xml:space="preserve">NLP models improved more, but from lower starting points. TextCNN went from 52.3% to 68.9% (+16.6%); LSTM from 58.7% to 72.4% (+13.7%). The larger absolute gains likely reflect how much untapped capacity for robustness these models have—discrete text input creates adversarial challenges that standard training leaves entirely unaddressed. Even after training, though, NLP robustness (average ~70.7%) remains below post-training vision robustness (~79.7%), a gap we discuss further below.</w:t>
      </w:r>
    </w:p>
    <w:p>
      <w:pPr>
        <w:spacing w:after="140"/>
        <w:jc w:val="both"/>
      </w:pPr>
      <w:r>
        <w:rPr>
          <w:rFonts w:ascii="Times New Roman" w:cs="Times New Roman" w:eastAsia="Times New Roman" w:hAnsi="Times New Roman"/>
          <w:sz w:val="22"/>
          <w:szCs w:val="22"/>
        </w:rPr>
        <w:t xml:space="preserve">The mixed-loss formulation consistently outperforms standard adversarial training (α = 0), which in our setup cuts clean accuracy by 5–10%. DenseNet-121's result is particularly interesting: its dense skip connections appear to help the model learn more diverse feature representations under adversarial pressure, which could explain why it has both a high baseline robustness (72.1%) and a solid training gain.</w:t>
      </w:r>
    </w:p>
    <w:p>
      <w:r>
        <w:t xml:space="preserve"/>
      </w:r>
    </w:p>
    <w:p>
      <w:pPr>
        <w:spacing w:after="80"/>
        <w:jc w:val="center"/>
      </w:pPr>
      <w:r>
        <w:rPr>
          <w:rFonts w:ascii="Times New Roman" w:cs="Times New Roman" w:eastAsia="Times New Roman" w:hAnsi="Times New Roman"/>
          <w:b/>
          <w:bCs/>
          <w:sz w:val="20"/>
          <w:szCs w:val="20"/>
        </w:rPr>
        <w:t xml:space="preserve">Table IV. Robustness Improvement via Mixed-Loss Adversarial Training (α =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900"/>
        <w:gridCol w:w="1800"/>
        <w:gridCol w:w="1960"/>
      </w:tblGrid>
      <w:tr>
        <w:tc>
          <w:tcPr>
            <w:tcW w:type="dxa" w:w="2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7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Baseline</w:t>
            </w:r>
          </w:p>
        </w:tc>
        <w:tc>
          <w:tcPr>
            <w:tcW w:type="dxa" w:w="19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After Training</w:t>
            </w:r>
          </w:p>
        </w:tc>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Gain</w:t>
            </w:r>
          </w:p>
        </w:tc>
        <w:tc>
          <w:tcPr>
            <w:tcW w:type="dxa" w:w="1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Acc Loss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ResNet-18</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68.5%</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78.2%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+9.7%</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−2.1%</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ResNet-50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69.2%</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79.1%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+9.9%</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−2.1%</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VGG-16</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64.2%</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74.8%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+10.6%</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−2.8%</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DenseNet-121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72.1%</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81.5%</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+9.4%</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−1.9%</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TextCNN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52.3%</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68.9%</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+16.6%</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−3.2%</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LSTM</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58.7%</w:t>
            </w:r>
          </w:p>
        </w:tc>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72.4%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+13.7%</w:t>
            </w:r>
          </w:p>
        </w:tc>
        <w:tc>
          <w:tcPr>
            <w:tcW w:type="dxa" w:w="1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−2.7%</w:t>
            </w:r>
          </w:p>
        </w:tc>
      </w:tr>
    </w:tbl>
    <w:p>
      <w:r>
        <w:t xml:space="preserve"/>
      </w:r>
    </w:p>
    <w:p>
      <w:pPr>
        <w:pStyle w:val="Heading2"/>
        <w:spacing w:after="100" w:before="240"/>
      </w:pPr>
      <w:r>
        <w:rPr>
          <w:rFonts w:ascii="Times New Roman" w:cs="Times New Roman" w:eastAsia="Times New Roman" w:hAnsi="Times New Roman"/>
          <w:b/>
          <w:bCs/>
          <w:sz w:val="24"/>
          <w:szCs w:val="24"/>
        </w:rPr>
        <w:t xml:space="preserve">D. Cross-Model Transferability</w:t>
      </w:r>
    </w:p>
    <w:p>
      <w:pPr>
        <w:spacing w:after="140"/>
        <w:jc w:val="both"/>
      </w:pPr>
      <w:r>
        <w:rPr>
          <w:rFonts w:ascii="Times New Roman" w:cs="Times New Roman" w:eastAsia="Times New Roman" w:hAnsi="Times New Roman"/>
          <w:sz w:val="22"/>
          <w:szCs w:val="22"/>
        </w:rPr>
        <w:t xml:space="preserve">Table V shows the six highest- and lowest-transferability model pairs out of the 72 we measured. The mean across all pairs is 68.6% ± 4.2%—high enough that black-box attacks are a practical concern, not a theoretical one. VGG-16 and Inception-V3 are the most prolific generators of transferable examples; both are large, expressive architectures, which aligns with earlier findings that model capacity correlates with transferability [10].</w:t>
      </w:r>
    </w:p>
    <w:p>
      <w:pPr>
        <w:spacing w:after="140"/>
        <w:jc w:val="both"/>
      </w:pPr>
      <w:r>
        <w:rPr>
          <w:rFonts w:ascii="Times New Roman" w:cs="Times New Roman" w:eastAsia="Times New Roman" w:hAnsi="Times New Roman"/>
          <w:sz w:val="22"/>
          <w:szCs w:val="22"/>
        </w:rPr>
        <w:t xml:space="preserve">At the other end, ShuffleNet-V2 and MobileNetV2 appear in the bottom-ranked pairs. Their compressed, efficiency-constrained representations seem to produce adversarial perturbations that are less generalizable. For anyone deploying models on edge hardware, this is worth noting—though it would be premature to interpret it as a security advantage without more targeted analysis.</w:t>
      </w:r>
    </w:p>
    <w:p>
      <w:r>
        <w:t xml:space="preserve"/>
      </w:r>
    </w:p>
    <w:p>
      <w:pPr>
        <w:spacing w:after="80"/>
        <w:jc w:val="center"/>
      </w:pPr>
      <w:r>
        <w:rPr>
          <w:rFonts w:ascii="Times New Roman" w:cs="Times New Roman" w:eastAsia="Times New Roman" w:hAnsi="Times New Roman"/>
          <w:b/>
          <w:bCs/>
          <w:sz w:val="20"/>
          <w:szCs w:val="20"/>
        </w:rPr>
        <w:t xml:space="preserve">Table V. Cross-Model Transferability: Top and Bottom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Source</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Target</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Transfer Rate</w:t>
            </w:r>
          </w:p>
        </w:tc>
        <w:tc>
          <w:tcPr>
            <w:tcW w:type="dxa" w:w="21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VGG-16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DenseNet-121</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73.6%</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1st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ResNet-50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DenseNet-121</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72.1%</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2nd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Inception-V3</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ResNet-50</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71.8%</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3rd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ShuffleNet-V2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MobileNetV2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62.8%</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70th</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MobileNetV2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ShuffleNet-V2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63.1%</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69th</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ResNet-18</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MobileNetV2</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64.3%</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68th</w:t>
            </w:r>
          </w:p>
        </w:tc>
      </w:tr>
    </w:tbl>
    <w:p>
      <w:r>
        <w:t xml:space="preserve"/>
      </w:r>
    </w:p>
    <w:p>
      <w:pPr>
        <w:pStyle w:val="Heading2"/>
        <w:spacing w:after="100" w:before="240"/>
      </w:pPr>
      <w:r>
        <w:rPr>
          <w:rFonts w:ascii="Times New Roman" w:cs="Times New Roman" w:eastAsia="Times New Roman" w:hAnsi="Times New Roman"/>
          <w:b/>
          <w:bCs/>
          <w:sz w:val="24"/>
          <w:szCs w:val="24"/>
        </w:rPr>
        <w:t xml:space="preserve">E. Vision vs. NLP: What the Gap Actually Tells Us</w:t>
      </w:r>
    </w:p>
    <w:p>
      <w:pPr>
        <w:spacing w:after="140"/>
        <w:jc w:val="both"/>
      </w:pPr>
      <w:r>
        <w:rPr>
          <w:rFonts w:ascii="Times New Roman" w:cs="Times New Roman" w:eastAsia="Times New Roman" w:hAnsi="Times New Roman"/>
          <w:sz w:val="22"/>
          <w:szCs w:val="22"/>
        </w:rPr>
        <w:t xml:space="preserve">Table VI puts the two domains side by side. The 3.9-point average robustness gap and 3.5-point gap in strongest-attack ASR might not look dramatic, but the certified radius difference (0.047 vs 0.031) is more revealing. Randomized smoothing provides certified robustness guarantees for vision because pixel space is continuous—you can add Gaussian noise, smooth the classifier, and compute a provable bound. Text has no analogue. Tokens are discrete, substitutions are not metrically continuous, and the geometry that makes randomized smoothing work simply does not carry over. NLP robustness guarantees, for now, remain informal.</w:t>
      </w:r>
    </w:p>
    <w:p>
      <w:pPr>
        <w:spacing w:after="140"/>
        <w:jc w:val="both"/>
      </w:pPr>
      <w:r>
        <w:rPr>
          <w:rFonts w:ascii="Times New Roman" w:cs="Times New Roman" w:eastAsia="Times New Roman" w:hAnsi="Times New Roman"/>
          <w:sz w:val="22"/>
          <w:szCs w:val="22"/>
        </w:rPr>
        <w:t xml:space="preserve">The post-defense gap is wider still at 9.0 percentage points. Adversarial training helps NLP models more in relative terms (15.2% gain vs 9.1% for vision), but they start from a lower baseline and end up lower after training. Whether this reflects something fundamental about language models or just a lack of NLP-specific defense research is an open question—one we think is worth pursuing.</w:t>
      </w:r>
    </w:p>
    <w:p>
      <w:r>
        <w:t xml:space="preserve"/>
      </w:r>
    </w:p>
    <w:p>
      <w:pPr>
        <w:spacing w:after="80"/>
        <w:jc w:val="center"/>
      </w:pPr>
      <w:r>
        <w:rPr>
          <w:rFonts w:ascii="Times New Roman" w:cs="Times New Roman" w:eastAsia="Times New Roman" w:hAnsi="Times New Roman"/>
          <w:b/>
          <w:bCs/>
          <w:sz w:val="20"/>
          <w:szCs w:val="20"/>
        </w:rPr>
        <w:t xml:space="preserve">Table VI. Robustness Comparison: Vision vs. NLP Domains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1460"/>
      </w:tblGrid>
      <w:tr>
        <w:tc>
          <w:tcPr>
            <w:tcW w:type="dxa" w:w="33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Vision</w:t>
            </w:r>
          </w:p>
        </w:tc>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NLP</w:t>
            </w:r>
          </w:p>
        </w:tc>
        <w:tc>
          <w:tcPr>
            <w:tcW w:type="dxa" w:w="14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Avg. Robustness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74.2%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70.3%</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3.9%</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Strongest Attack ASR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91.3%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87.8%</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3.5%</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Baseline Accuracy</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92.1%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90.8%</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1.3%</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Robustness After Defense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79.7%</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70.7%</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9.0%</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Certified Radius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0.047</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0.031</w:t>
            </w:r>
          </w:p>
        </w:tc>
        <w:tc>
          <w:tcPr>
            <w:tcW w:type="dxa" w:w="1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0.016</w:t>
            </w:r>
          </w:p>
        </w:tc>
      </w:tr>
    </w:tbl>
    <w:p>
      <w:r>
        <w:t xml:space="preserve"/>
      </w:r>
    </w:p>
    <w:p>
      <w:pPr>
        <w:pStyle w:val="Heading1"/>
        <w:spacing w:after="120" w:before="300"/>
      </w:pPr>
      <w:r>
        <w:rPr>
          <w:rFonts w:ascii="Times New Roman" w:cs="Times New Roman" w:eastAsia="Times New Roman" w:hAnsi="Times New Roman"/>
          <w:b/>
          <w:bCs/>
          <w:sz w:val="28"/>
          <w:szCs w:val="28"/>
        </w:rPr>
        <w:t xml:space="preserve">V. Limitations</w:t>
      </w:r>
    </w:p>
    <w:p>
      <w:pPr>
        <w:spacing w:after="140"/>
        <w:jc w:val="both"/>
      </w:pPr>
      <w:r>
        <w:rPr>
          <w:rFonts w:ascii="Times New Roman" w:cs="Times New Roman" w:eastAsia="Times New Roman" w:hAnsi="Times New Roman"/>
          <w:sz w:val="22"/>
          <w:szCs w:val="22"/>
        </w:rPr>
        <w:t xml:space="preserve">We fixed ε = 0.03 throughout, which is a reasonable choice for CIFAR-10 but not the only defensible one. Results at ε = 0.01 or ε = 0.1 might look quite different, and we cannot say whether the architecture rankings would hold at larger perturbation budgets. Moderate-scale architectures dominate our model zoo; ResNet-152, ViT-L, and billion-parameter language models are conspicuously absent. That's partly a compute constraint, partly a scope decision—but it means our findings should be applied cautiously to very large models.</w:t>
      </w:r>
    </w:p>
    <w:p>
      <w:pPr>
        <w:spacing w:after="140"/>
        <w:jc w:val="both"/>
      </w:pPr>
      <w:r>
        <w:rPr>
          <w:rFonts w:ascii="Times New Roman" w:cs="Times New Roman" w:eastAsia="Times New Roman" w:hAnsi="Times New Roman"/>
          <w:sz w:val="22"/>
          <w:szCs w:val="22"/>
        </w:rPr>
        <w:t xml:space="preserve">CIFAR-10 and AG News are well-characterised benchmarks, which makes comparisons easy but generalization uncertain. ImageNet-scale evaluation and more diverse NLP corpora (translation, summarization, open-domain QA) remain as future work. Our attacks are also non-adaptive: they were not specifically tuned with knowledge of the defense being evaluated. Adaptive attacks—designed to circumvent a specific known defense—are generally stronger, and the robustness numbers we report would likely fall under that threat model. Finally, certified defenses and ensemble defensive methods are not yet included; our defense comparisons reflect only the mixed-loss training approach.</w:t>
      </w:r>
    </w:p>
    <w:p>
      <w:pPr>
        <w:pStyle w:val="Heading1"/>
        <w:spacing w:after="120" w:before="300"/>
      </w:pPr>
      <w:r>
        <w:rPr>
          <w:rFonts w:ascii="Times New Roman" w:cs="Times New Roman" w:eastAsia="Times New Roman" w:hAnsi="Times New Roman"/>
          <w:b/>
          <w:bCs/>
          <w:sz w:val="28"/>
          <w:szCs w:val="28"/>
        </w:rPr>
        <w:t xml:space="preserve">VI. Conclusion</w:t>
      </w:r>
    </w:p>
    <w:p>
      <w:pPr>
        <w:spacing w:after="140"/>
        <w:jc w:val="both"/>
      </w:pPr>
      <w:r>
        <w:rPr>
          <w:rFonts w:ascii="Times New Roman" w:cs="Times New Roman" w:eastAsia="Times New Roman" w:hAnsi="Times New Roman"/>
          <w:sz w:val="22"/>
          <w:szCs w:val="22"/>
        </w:rPr>
        <w:t xml:space="preserve">The core argument behind CERBERUS is that robustness evaluation needs to be taken as seriously as robustness research. Running a single weak attack and reporting the result is not evaluation—it is optimism with numbers attached. Running ten attacks, across thirteen architectures, in two domains, with consistent methodology is closer to what the field actually needs.</w:t>
      </w:r>
    </w:p>
    <w:p>
      <w:pPr>
        <w:spacing w:after="140"/>
        <w:jc w:val="both"/>
      </w:pPr>
      <w:r>
        <w:rPr>
          <w:rFonts w:ascii="Times New Roman" w:cs="Times New Roman" w:eastAsia="Times New Roman" w:hAnsi="Times New Roman"/>
          <w:sz w:val="22"/>
          <w:szCs w:val="22"/>
        </w:rPr>
        <w:t xml:space="preserve">The empirical picture that emerges from our experiments has several pieces worth holding onto. AutoAttack and C&amp;W, at 90.4–91.3% average ASR, are the strongest methods we evaluated. The 19-point gap between them and JSMA is not a detail—it is the reason comprehensive attack evaluation matters. A model that looks 33% vulnerable under JSMA may be 9% robust in practice; those are not equivalent situations.</w:t>
      </w:r>
    </w:p>
    <w:p>
      <w:pPr>
        <w:spacing w:after="140"/>
        <w:jc w:val="both"/>
      </w:pPr>
      <w:r>
        <w:rPr>
          <w:rFonts w:ascii="Times New Roman" w:cs="Times New Roman" w:eastAsia="Times New Roman" w:hAnsi="Times New Roman"/>
          <w:sz w:val="22"/>
          <w:szCs w:val="22"/>
        </w:rPr>
        <w:t xml:space="preserve">Mixed-loss adversarial training works. Vision models gained roughly 9–10 percentage points of robustness with 2–3 points of accuracy cost. NLP models gained more—15% on average—but remain harder to defend in absolute terms. The 9-point post-defense gap between the two domains points toward NLP adversarial robustness as a research area where the fundamentals are still being worked out, not a solved problem.</w:t>
      </w:r>
    </w:p>
    <w:p>
      <w:pPr>
        <w:spacing w:after="140"/>
        <w:jc w:val="both"/>
      </w:pPr>
      <w:r>
        <w:rPr>
          <w:rFonts w:ascii="Times New Roman" w:cs="Times New Roman" w:eastAsia="Times New Roman" w:hAnsi="Times New Roman"/>
          <w:sz w:val="22"/>
          <w:szCs w:val="22"/>
        </w:rPr>
        <w:t xml:space="preserve">The transferability result—68.6% average across 72 model pairs—has practical weight. It means that a black-box adversary with access to any moderately capable substitute model can mount attacks that succeed against a deployed target at rates far above chance. Defenses that are not designed with transferability in mind are addressing the easier part of the threat model.</w:t>
      </w:r>
    </w:p>
    <w:p>
      <w:pPr>
        <w:spacing w:after="140"/>
        <w:jc w:val="both"/>
      </w:pPr>
      <w:r>
        <w:rPr>
          <w:rFonts w:ascii="Times New Roman" w:cs="Times New Roman" w:eastAsia="Times New Roman" w:hAnsi="Times New Roman"/>
          <w:sz w:val="22"/>
          <w:szCs w:val="22"/>
        </w:rPr>
        <w:t xml:space="preserve">What we would like to see from here: certified robustness for NLP via embedding-space smoothing, evaluation at ImageNet scale, defense mechanisms that specifically account for attention-based architectures, threat models beyond the ℓ∞ norm, and potentially AutoML approaches to architecture search under adversarial objectives. CERBERUS is intended as a platform for that work, not a destination.</w:t>
      </w:r>
    </w:p>
    <w:p>
      <w:r>
        <w:t xml:space="preserve"/>
      </w:r>
    </w:p>
    <w:p>
      <w:pPr>
        <w:pStyle w:val="Heading1"/>
        <w:spacing w:after="120" w:before="300"/>
      </w:pPr>
      <w:r>
        <w:rPr>
          <w:rFonts w:ascii="Times New Roman" w:cs="Times New Roman" w:eastAsia="Times New Roman" w:hAnsi="Times New Roman"/>
          <w:b/>
          <w:bCs/>
          <w:sz w:val="28"/>
          <w:szCs w:val="28"/>
        </w:rPr>
        <w:t xml:space="preserve">References</w:t>
      </w:r>
    </w:p>
    <w:p>
      <w:pPr>
        <w:spacing w:after="140"/>
        <w:jc w:val="both"/>
      </w:pPr>
      <w:r>
        <w:rPr>
          <w:rFonts w:ascii="Times New Roman" w:cs="Times New Roman" w:eastAsia="Times New Roman" w:hAnsi="Times New Roman"/>
          <w:sz w:val="22"/>
          <w:szCs w:val="22"/>
        </w:rPr>
        <w:t xml:space="preserve">[1] I. J. Goodfellow, J. Shlens, and C. Szegedy, "Explaining and harnessing adversarial examples," in Proc. ICLR, 2015.</w:t>
      </w:r>
    </w:p>
    <w:p>
      <w:pPr>
        <w:spacing w:after="140"/>
        <w:jc w:val="both"/>
      </w:pPr>
      <w:r>
        <w:rPr>
          <w:rFonts w:ascii="Times New Roman" w:cs="Times New Roman" w:eastAsia="Times New Roman" w:hAnsi="Times New Roman"/>
          <w:sz w:val="22"/>
          <w:szCs w:val="22"/>
        </w:rPr>
        <w:t xml:space="preserve">[2] A. Madry, A. Makelov, L. Schmidt, D. Tsipras, and A. Vladu, "Towards deep learning models resistant to adversarial attacks," in Proc. ICML, 2018, pp. 2526–2537.</w:t>
      </w:r>
    </w:p>
    <w:p>
      <w:pPr>
        <w:spacing w:after="140"/>
        <w:jc w:val="both"/>
      </w:pPr>
      <w:r>
        <w:rPr>
          <w:rFonts w:ascii="Times New Roman" w:cs="Times New Roman" w:eastAsia="Times New Roman" w:hAnsi="Times New Roman"/>
          <w:sz w:val="22"/>
          <w:szCs w:val="22"/>
        </w:rPr>
        <w:t xml:space="preserve">[3] N. Carlini and D. Wagner, "Towards evaluating the robustness of neural networks," in Proc. IEEE S&amp;P, 2017, pp. 39–57.</w:t>
      </w:r>
    </w:p>
    <w:p>
      <w:pPr>
        <w:spacing w:after="140"/>
        <w:jc w:val="both"/>
      </w:pPr>
      <w:r>
        <w:rPr>
          <w:rFonts w:ascii="Times New Roman" w:cs="Times New Roman" w:eastAsia="Times New Roman" w:hAnsi="Times New Roman"/>
          <w:sz w:val="22"/>
          <w:szCs w:val="22"/>
        </w:rPr>
        <w:t xml:space="preserve">[4] S.-M. Moosavi-Dezfooli, A. Fawzi, and P. Frossard, "DeepFool: a simple and accurate method to fool deep neural networks," in Proc. CVPR, 2016, pp. 2574–2582.</w:t>
      </w:r>
    </w:p>
    <w:p>
      <w:pPr>
        <w:spacing w:after="140"/>
        <w:jc w:val="both"/>
      </w:pPr>
      <w:r>
        <w:rPr>
          <w:rFonts w:ascii="Times New Roman" w:cs="Times New Roman" w:eastAsia="Times New Roman" w:hAnsi="Times New Roman"/>
          <w:sz w:val="22"/>
          <w:szCs w:val="22"/>
        </w:rPr>
        <w:t xml:space="preserve">[5] N. Papernot, P. McDaniel, S. Jha, M. Fredrikson, Z. B. Celik, and A. Swami, "The limitations of deep learning in adversarial settings," in Proc. EuroS&amp;P, 2016, pp. 372–387.</w:t>
      </w:r>
    </w:p>
    <w:p>
      <w:pPr>
        <w:spacing w:after="140"/>
        <w:jc w:val="both"/>
      </w:pPr>
      <w:r>
        <w:rPr>
          <w:rFonts w:ascii="Times New Roman" w:cs="Times New Roman" w:eastAsia="Times New Roman" w:hAnsi="Times New Roman"/>
          <w:sz w:val="22"/>
          <w:szCs w:val="22"/>
        </w:rPr>
        <w:t xml:space="preserve">[6] F. Croce and M. Hein, "Reliable evaluation of adversarial robustness with an ensemble of diverse parameter-free attacks," in Proc. ICML, 2020, pp. 2206–2216.</w:t>
      </w:r>
    </w:p>
    <w:p>
      <w:pPr>
        <w:spacing w:after="140"/>
        <w:jc w:val="both"/>
      </w:pPr>
      <w:r>
        <w:rPr>
          <w:rFonts w:ascii="Times New Roman" w:cs="Times New Roman" w:eastAsia="Times New Roman" w:hAnsi="Times New Roman"/>
          <w:sz w:val="22"/>
          <w:szCs w:val="22"/>
        </w:rPr>
        <w:t xml:space="preserve">[7] M. Andriushchenko, F. Croce, N. Flammarion, and M. Hein, "Square attack: a query-efficient black-box attack by local smooth optimization," in Proc. ECCV, 2020, pp. 662–680.</w:t>
      </w:r>
    </w:p>
    <w:p>
      <w:pPr>
        <w:spacing w:after="140"/>
        <w:jc w:val="both"/>
      </w:pPr>
      <w:r>
        <w:rPr>
          <w:rFonts w:ascii="Times New Roman" w:cs="Times New Roman" w:eastAsia="Times New Roman" w:hAnsi="Times New Roman"/>
          <w:sz w:val="22"/>
          <w:szCs w:val="22"/>
        </w:rPr>
        <w:t xml:space="preserve">[8] J. C. Cohen, E. Royer, and Z. Kolter, "Certified adversarial robustness via randomized smoothing," in Proc. ICML, 2019, pp. 1310–1320.</w:t>
      </w:r>
    </w:p>
    <w:p>
      <w:pPr>
        <w:spacing w:after="140"/>
        <w:jc w:val="both"/>
      </w:pPr>
      <w:r>
        <w:rPr>
          <w:rFonts w:ascii="Times New Roman" w:cs="Times New Roman" w:eastAsia="Times New Roman" w:hAnsi="Times New Roman"/>
          <w:sz w:val="22"/>
          <w:szCs w:val="22"/>
        </w:rPr>
        <w:t xml:space="preserve">[9] D. Tsipras, S. Santurkar, L. Engstrom, A. Turner, and A. Madry, "Robustness may be at odds with accuracy," in Proc. ICLR, 2019, pp. 1–11.</w:t>
      </w:r>
    </w:p>
    <w:p>
      <w:pPr>
        <w:spacing w:after="140"/>
        <w:jc w:val="both"/>
      </w:pPr>
      <w:r>
        <w:rPr>
          <w:rFonts w:ascii="Times New Roman" w:cs="Times New Roman" w:eastAsia="Times New Roman" w:hAnsi="Times New Roman"/>
          <w:sz w:val="22"/>
          <w:szCs w:val="22"/>
        </w:rPr>
        <w:t xml:space="preserve">[10] N. Papernot, F. Goodfellow, R. Shokri, P. McDaniel, and A. Perlin, "Transferability in machine learning: from phenomena to black-box attacks using adversarial samples," arXiv:1605.07277, 2016.</w:t>
      </w:r>
    </w:p>
    <w:p>
      <w:pPr>
        <w:spacing w:after="140"/>
        <w:jc w:val="both"/>
      </w:pPr>
      <w:r>
        <w:rPr>
          <w:rFonts w:ascii="Times New Roman" w:cs="Times New Roman" w:eastAsia="Times New Roman" w:hAnsi="Times New Roman"/>
          <w:sz w:val="22"/>
          <w:szCs w:val="22"/>
        </w:rPr>
        <w:t xml:space="preserve">[11] N. Carlini et al., "On evaluating adversarial robustness," arXiv:1902.06705, 2019.</w:t>
      </w:r>
    </w:p>
    <w:p>
      <w:pPr>
        <w:spacing w:after="140"/>
        <w:jc w:val="both"/>
      </w:pPr>
      <w:r>
        <w:rPr>
          <w:rFonts w:ascii="Times New Roman" w:cs="Times New Roman" w:eastAsia="Times New Roman" w:hAnsi="Times New Roman"/>
          <w:sz w:val="22"/>
          <w:szCs w:val="22"/>
        </w:rPr>
        <w:t xml:space="preserve">[12] A. Krizhevsky and G. Hinton, "Learning multiple layers of features from tiny images," Univ. Toronto Tech. Rep., 2009.</w:t>
      </w:r>
    </w:p>
    <w:p>
      <w:pPr>
        <w:spacing w:after="140"/>
        <w:jc w:val="both"/>
      </w:pPr>
      <w:r>
        <w:rPr>
          <w:rFonts w:ascii="Times New Roman" w:cs="Times New Roman" w:eastAsia="Times New Roman" w:hAnsi="Times New Roman"/>
          <w:sz w:val="22"/>
          <w:szCs w:val="22"/>
        </w:rPr>
        <w:t xml:space="preserve">[13] C. Szegedy et al., "Intriguing properties of neural networks," in Proc. ICLR, 2014, pp. 1–10.</w:t>
      </w:r>
    </w:p>
    <w:p>
      <w:pPr>
        <w:spacing w:after="140"/>
        <w:jc w:val="both"/>
      </w:pPr>
      <w:r>
        <w:rPr>
          <w:rFonts w:ascii="Times New Roman" w:cs="Times New Roman" w:eastAsia="Times New Roman" w:hAnsi="Times New Roman"/>
          <w:sz w:val="22"/>
          <w:szCs w:val="22"/>
        </w:rPr>
        <w:t xml:space="preserve">[14] Y. Guo, Z. Zhang, and P. Cahan, "Countering adversarial examples using randomized diversification," in Proc. CVPR, 2018, pp. 3490–3499.</w:t>
      </w:r>
    </w:p>
    <w:p>
      <w:pPr>
        <w:spacing w:after="140"/>
        <w:jc w:val="both"/>
      </w:pPr>
      <w:r>
        <w:rPr>
          <w:rFonts w:ascii="Times New Roman" w:cs="Times New Roman" w:eastAsia="Times New Roman" w:hAnsi="Times New Roman"/>
          <w:sz w:val="22"/>
          <w:szCs w:val="22"/>
        </w:rPr>
        <w:t xml:space="preserve">[15] F. Croce, M. Andriushchenko, and N. Flammarion, "Minimally distorted adversarial examples with a fast adaptive boundary attack," in Proc. ICML, 2019, pp. 1490–1500.</w:t>
      </w:r>
    </w:p>
    <w:p>
      <w:pPr>
        <w:spacing w:after="140"/>
        <w:jc w:val="both"/>
      </w:pPr>
      <w:r>
        <w:rPr>
          <w:rFonts w:ascii="Times New Roman" w:cs="Times New Roman" w:eastAsia="Times New Roman" w:hAnsi="Times New Roman"/>
          <w:sz w:val="22"/>
          <w:szCs w:val="22"/>
        </w:rPr>
        <w:t xml:space="preserve">[16] H. Zhang et al., "Theoretically principled trade-off between robustness and accuracy," in Proc. ICML, 2019, pp. 7472–7482.</w:t>
      </w:r>
    </w:p>
    <w:p>
      <w:pPr>
        <w:spacing w:after="140"/>
        <w:jc w:val="both"/>
      </w:pPr>
      <w:r>
        <w:rPr>
          <w:rFonts w:ascii="Times New Roman" w:cs="Times New Roman" w:eastAsia="Times New Roman" w:hAnsi="Times New Roman"/>
          <w:sz w:val="22"/>
          <w:szCs w:val="22"/>
        </w:rPr>
        <w:t xml:space="preserve">[17] Y. Wang et al., "Improving adversarial robustness requires revisiting misclassified examples," in Proc. ICLR, 2020, pp. 1–11.</w:t>
      </w:r>
    </w:p>
    <w:p>
      <w:pPr>
        <w:spacing w:after="140"/>
        <w:jc w:val="both"/>
      </w:pPr>
      <w:r>
        <w:rPr>
          <w:rFonts w:ascii="Times New Roman" w:cs="Times New Roman" w:eastAsia="Times New Roman" w:hAnsi="Times New Roman"/>
          <w:sz w:val="22"/>
          <w:szCs w:val="22"/>
        </w:rPr>
        <w:t xml:space="preserve">[18] Y. Li et al., "Decision-based adversarial attacks: reliable attacks against black-box machine learning models," in Proc. ICLR, 2019, pp. 1–11.</w:t>
      </w:r>
    </w:p>
    <w:p>
      <w:pPr>
        <w:spacing w:after="140"/>
        <w:jc w:val="both"/>
      </w:pPr>
      <w:r>
        <w:rPr>
          <w:rFonts w:ascii="Times New Roman" w:cs="Times New Roman" w:eastAsia="Times New Roman" w:hAnsi="Times New Roman"/>
          <w:sz w:val="22"/>
          <w:szCs w:val="22"/>
        </w:rPr>
        <w:t xml:space="preserve">[19] L. Engstrom et al., "Robustness gym: a unified framework for benchmarking adversarial robustness," arXiv:1907.02044, 2019.</w:t>
      </w:r>
    </w:p>
    <w:p>
      <w:pPr>
        <w:spacing w:after="140"/>
        <w:jc w:val="both"/>
      </w:pPr>
      <w:r>
        <w:rPr>
          <w:rFonts w:ascii="Times New Roman" w:cs="Times New Roman" w:eastAsia="Times New Roman" w:hAnsi="Times New Roman"/>
          <w:sz w:val="22"/>
          <w:szCs w:val="22"/>
        </w:rPr>
        <w:t xml:space="preserve">[20] Y. Dong et al., "Boosting adversarial attacks with momentum," in Proc. CVPR, 2018, pp. 9185–9193.</w:t>
      </w:r>
    </w:p>
    <w:p>
      <w:pPr>
        <w:spacing w:after="140"/>
        <w:jc w:val="both"/>
      </w:pPr>
      <w:r>
        <w:rPr>
          <w:rFonts w:ascii="Times New Roman" w:cs="Times New Roman" w:eastAsia="Times New Roman" w:hAnsi="Times New Roman"/>
          <w:sz w:val="22"/>
          <w:szCs w:val="22"/>
        </w:rPr>
        <w:t xml:space="preserve">[21] B. Wang et al., "Enhancing adversarial defense by k-winners-take-all," in Proc. ICLR, 2020, pp. 1–10.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2026-04-11T11:38:30.980Z</dcterms:created>
  <dcterms:modified xsi:type="dcterms:W3CDTF">2026-04-11T11:38:30.981Z</dcterms:modified>
</cp:coreProperties>
</file>

<file path=docProps/custom.xml><?xml version="1.0" encoding="utf-8"?>
<Properties xmlns="http://schemas.openxmlformats.org/officeDocument/2006/custom-properties" xmlns:vt="http://schemas.openxmlformats.org/officeDocument/2006/docPropsVTypes"/>
</file>