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sz w:val="40"/>
        </w:rPr>
        <w:t>NashForge: A Multi-Agent Framework for Comparative Evaluation of Game-Theoretic, Evolutionary, and Reinforcement Learning Agents in Imperfect-Information Games</w:t>
      </w:r>
    </w:p>
    <w:p>
      <w:pPr>
        <w:spacing w:after="40"/>
        <w:jc w:val="center"/>
      </w:pPr>
      <w:r>
        <w:rPr>
          <w:rFonts w:ascii="Times New Roman" w:hAnsi="Times New Roman"/>
          <w:sz w:val="22"/>
        </w:rPr>
        <w:t>Dheirav</w:t>
      </w:r>
    </w:p>
    <w:p>
      <w:pPr>
        <w:spacing w:after="280"/>
        <w:jc w:val="center"/>
      </w:pPr>
      <w:r>
        <w:rPr>
          <w:rFonts w:ascii="Times New Roman" w:hAnsi="Times New Roman"/>
          <w:i/>
          <w:sz w:val="18"/>
        </w:rPr>
        <w:t>Roll No. 2023103027</w:t>
        <w:br/>
        <w:t>Department of Computer Science and Engineering</w:t>
      </w:r>
    </w:p>
    <w:p>
      <w:pPr>
        <w:sectPr>
          <w:pgSz w:w="12240" w:h="15840"/>
          <w:pgMar w:top="1080" w:right="900" w:bottom="1440" w:left="900" w:header="720" w:footer="720" w:gutter="0"/>
          <w:cols w:space="288" w:num="1" w:equalWidth="1"/>
          <w:docGrid w:linePitch="360"/>
        </w:sectPr>
      </w:pPr>
    </w:p>
    <w:p>
      <w:pPr>
        <w:spacing w:after="120"/>
        <w:jc w:val="both"/>
      </w:pPr>
      <w:r>
        <w:rPr>
          <w:rFonts w:ascii="Times New Roman" w:hAnsi="Times New Roman"/>
          <w:b/>
          <w:i/>
          <w:sz w:val="18"/>
        </w:rPr>
        <w:t>Abstract—</w:t>
      </w:r>
      <w:r>
        <w:rPr>
          <w:rFonts w:ascii="Times New Roman" w:hAnsi="Times New Roman"/>
          <w:b/>
          <w:i/>
          <w:sz w:val="18"/>
        </w:rPr>
        <w:t>Imperfect-information games such as poker require an agent to act without knowing the opponent's private state, and conventional approaches evaluate such agents against opponents drawn from their own population, producing systems that appear to improve while bearing no measurable relation to strong play. This paper presents NashForge, a framework for training and comparatively evaluating three families of agent — counterfactual regret minimization, evolutionary search, and proximal policy optimization — on a single verified poker engine using identical instrumentation. The framework validates its own measurement apparatus before reporting any result: the solver is checked against Kuhn poker's analytic game value of −1/18 and against exact exploitability on Leduc Hold'em, and every figure carries a confidence interval. The principal experimental finding is a crossover in card abstraction quality: a cheap made-hand bucketing outperforms Monte Carlo equity bucketing below approximately 640 seconds of training, after which equity bucketing wins by 0.916 ± 0.118 chips per hand while using one fifth of the opponent's iterations. A secondary and negative finding is that the feature representation used by the learning agents recovers almost none of a hand's true value once its single card feature is removed, placing a ceiling on those agents that additional training cannot raise.</w:t>
      </w:r>
    </w:p>
    <w:p>
      <w:pPr>
        <w:spacing w:after="160"/>
        <w:jc w:val="both"/>
      </w:pPr>
      <w:r>
        <w:rPr>
          <w:rFonts w:ascii="Times New Roman" w:hAnsi="Times New Roman"/>
          <w:b/>
          <w:i/>
          <w:sz w:val="18"/>
        </w:rPr>
        <w:t>Index Terms—</w:t>
      </w:r>
      <w:r>
        <w:rPr>
          <w:rFonts w:ascii="Times New Roman" w:hAnsi="Times New Roman"/>
          <w:i/>
          <w:sz w:val="18"/>
        </w:rPr>
        <w:t>counterfactual regret minimization, imperfect-information games, card abstraction, exploitability, reinforcement learning, computer poker</w:t>
      </w:r>
    </w:p>
    <w:p>
      <w:pPr>
        <w:spacing w:before="220" w:after="80"/>
        <w:jc w:val="center"/>
      </w:pPr>
      <w:r>
        <w:rPr>
          <w:rFonts w:ascii="Times New Roman" w:hAnsi="Times New Roman"/>
          <w:sz w:val="20"/>
        </w:rPr>
        <w:t>I.  INTRODUCTION</w:t>
      </w:r>
    </w:p>
    <w:p>
      <w:pPr>
        <w:spacing w:after="0"/>
        <w:jc w:val="both"/>
      </w:pPr>
      <w:r>
        <w:rPr>
          <w:rFonts w:ascii="Times New Roman" w:hAnsi="Times New Roman"/>
          <w:b w:val="0"/>
          <w:i w:val="0"/>
          <w:sz w:val="20"/>
        </w:rPr>
        <w:t>Imperfect-information games present a fundamentally harder computational problem than perfect-information games such as chess. A player must act without observing the opponent's private cards, and must therefore reason about a probability distribution over hidden states rather than about a single known position. This distinction removes the guarantees that make minimax search effective and requires an entirely different family of algorithms.</w:t>
      </w:r>
    </w:p>
    <w:p>
      <w:pPr>
        <w:spacing w:after="0"/>
        <w:ind w:firstLine="288"/>
        <w:jc w:val="both"/>
      </w:pPr>
      <w:r>
        <w:rPr>
          <w:rFonts w:ascii="Times New Roman" w:hAnsi="Times New Roman"/>
          <w:b w:val="0"/>
          <w:i w:val="0"/>
          <w:sz w:val="20"/>
        </w:rPr>
        <w:t>The dominant approach is counterfactual regret minimization [2], which decomposes the regret of a strategy into independent terms at each information set and converges toward a Nash equilibrium in two-player zero-sum games. Its practical application to no-limit Texas Hold'em requires two forms of approximation — grouping similar hands into buckets, and restricting the continuous space of bet sizes to a small discrete set — each of which introduces error that is rarely measured.</w:t>
      </w:r>
    </w:p>
    <w:p>
      <w:pPr>
        <w:spacing w:after="0"/>
        <w:ind w:firstLine="288"/>
        <w:jc w:val="both"/>
      </w:pPr>
      <w:r>
        <w:rPr>
          <w:rFonts w:ascii="Times New Roman" w:hAnsi="Times New Roman"/>
          <w:b w:val="0"/>
          <w:i w:val="0"/>
          <w:sz w:val="20"/>
        </w:rPr>
        <w:t>This paper argues that the measurement apparatus deserves at least as much scrutiny as the learning algorithm. The framework described here was developed after an internal audit established that every result previously produced by its evolutionary training pipeline had been generated by a fitness function that scored the wrong player, and by a card dealer that re-dealt identical hands. An untrained random network scored +451 BB/100 under that metric, where a score of approximately zero is required by the zero-sum property of the game. All such results were withdrawn.</w:t>
      </w:r>
    </w:p>
    <w:p>
      <w:pPr>
        <w:spacing w:after="0"/>
        <w:ind w:firstLine="288"/>
        <w:jc w:val="both"/>
      </w:pPr>
      <w:r>
        <w:rPr>
          <w:rFonts w:ascii="Times New Roman" w:hAnsi="Times New Roman"/>
          <w:b w:val="0"/>
          <w:i w:val="0"/>
          <w:sz w:val="20"/>
        </w:rPr>
        <w:t>The contributions of this work are threefold. First, a verified poker engine and solver validated against independently known answers. Second, an experimental determination of when a finer card abstraction repays its computational cost, which is shown to depend on the training budget rather than being a fixed property of the abstraction. Third, an empirical audit of the observation supplied to learning agents, which quantifies an information limit that no amount of training can overcome.</w:t>
      </w:r>
    </w:p>
    <w:p>
      <w:pPr>
        <w:spacing w:before="220" w:after="80"/>
        <w:jc w:val="center"/>
      </w:pPr>
      <w:r>
        <w:rPr>
          <w:rFonts w:ascii="Times New Roman" w:hAnsi="Times New Roman"/>
          <w:sz w:val="20"/>
        </w:rPr>
        <w:t>II.  RELATED WORK</w:t>
      </w:r>
    </w:p>
    <w:p>
      <w:pPr>
        <w:spacing w:before="140" w:after="40"/>
      </w:pPr>
      <w:r>
        <w:rPr>
          <w:rFonts w:ascii="Times New Roman" w:hAnsi="Times New Roman"/>
          <w:i/>
          <w:sz w:val="20"/>
        </w:rPr>
        <w:t>A.  Theoretical Foundations</w:t>
      </w:r>
    </w:p>
    <w:p>
      <w:pPr>
        <w:spacing w:after="0"/>
        <w:jc w:val="both"/>
      </w:pPr>
      <w:r>
        <w:rPr>
          <w:rFonts w:ascii="Times New Roman" w:hAnsi="Times New Roman"/>
          <w:b w:val="0"/>
          <w:i w:val="0"/>
          <w:sz w:val="20"/>
        </w:rPr>
        <w:t>Kuhn [1] introduced a three-card poker variant small enough to solve analytically, deriving an exact game value of −1/18 to the first player. Although trivial as poker, its closed-form solution makes it the standard first correctness test for any solver: an implementation that fails to reproduce −1/18 is provably incorrect regardless of how plausible its play appears. Zinkevich et al. [2] subsequently introduced counterfactual regret minimization, showing that overall regret in an extensive-form game decomposes into independent regret terms at each information set, and that the average strategy across iterations — not the current strategy — converges to equilibrium. This decomposition makes an otherwise intractable optimisation feasible and underpins essentially all later progress in the field.</w:t>
      </w:r>
    </w:p>
    <w:p>
      <w:pPr>
        <w:spacing w:before="140" w:after="40"/>
      </w:pPr>
      <w:r>
        <w:rPr>
          <w:rFonts w:ascii="Times New Roman" w:hAnsi="Times New Roman"/>
          <w:i/>
          <w:sz w:val="20"/>
        </w:rPr>
        <w:t>B.  Scaling Regret Minimization</w:t>
      </w:r>
    </w:p>
    <w:p>
      <w:pPr>
        <w:spacing w:after="0"/>
        <w:jc w:val="both"/>
      </w:pPr>
      <w:r>
        <w:rPr>
          <w:rFonts w:ascii="Times New Roman" w:hAnsi="Times New Roman"/>
          <w:b w:val="0"/>
          <w:i w:val="0"/>
          <w:sz w:val="20"/>
        </w:rPr>
        <w:t>Vanilla CFR traverses the entire game tree per iteration, which is impossible at the scale of no-limit Hold'em. Lanctot et al. [3] introduced Monte Carlo sampling variants, of which external sampling is most widely used: chance outcomes and opponent actions are sampled while the traverser's own actions remain fully enumerated, preserving convergence in expectation while reducing per-iteration cost by orders of magnitude. Tammelin [4] proposed CFR+, which floors accumulated regrets at zero and weights the average strategy linearly, reporting order-of-magnitude faster convergence; the method was later used to essentially solve heads-up limit Hold'em. Brown and Sandholm [5] generalised this weighting through discounted and linear schedules, on the reasoning that iterations performed before the strategy stabilises carry misleading information. All four rules are implemented and compared here, and notably the published ordering did not reproduce under external sampling.</w:t>
      </w:r>
    </w:p>
    <w:p>
      <w:pPr>
        <w:spacing w:before="140" w:after="40"/>
      </w:pPr>
      <w:r>
        <w:rPr>
          <w:rFonts w:ascii="Times New Roman" w:hAnsi="Times New Roman"/>
          <w:i/>
          <w:sz w:val="20"/>
        </w:rPr>
        <w:t>C.  Abstraction</w:t>
      </w:r>
    </w:p>
    <w:p>
      <w:pPr>
        <w:spacing w:after="0"/>
        <w:jc w:val="both"/>
      </w:pPr>
      <w:r>
        <w:rPr>
          <w:rFonts w:ascii="Times New Roman" w:hAnsi="Times New Roman"/>
          <w:b w:val="0"/>
          <w:i w:val="0"/>
          <w:sz w:val="20"/>
        </w:rPr>
        <w:t>Because no-limit Hold'em contains on the order of 10^160 information sets, hands must be grouped before any solver can run. Johanson et al. [6] systematically evaluated competing bucketing schemes and established clustering on hand-strength distributions as the strongest general approach, a method this work follows directly. Waugh et al. [7] reported the counter-intuitive result that refining an abstraction can produce a strategy that is more exploitable rather than less, demonstrating that the relationship between granularity and quality is not monotonic. That finding is the direct justification for the central experiment presented in Section VI. Ganzfried and Sandholm [8] addressed the complementary problem of responding to bet sizes outside the abstraction, showing that rounding to the nearest size is exploitable because it creates a deterministic boundary an opponent can sit just inside, and deriving the pseudo-harmonic mapping that this framework adopts.</w:t>
      </w:r>
    </w:p>
    <w:p>
      <w:pPr>
        <w:spacing w:before="140" w:after="40"/>
      </w:pPr>
      <w:r>
        <w:rPr>
          <w:rFonts w:ascii="Times New Roman" w:hAnsi="Times New Roman"/>
          <w:i/>
          <w:sz w:val="20"/>
        </w:rPr>
        <w:t>D.  Measuring Strategy Quality</w:t>
      </w:r>
    </w:p>
    <w:p>
      <w:pPr>
        <w:spacing w:after="0"/>
        <w:jc w:val="both"/>
      </w:pPr>
      <w:r>
        <w:rPr>
          <w:rFonts w:ascii="Times New Roman" w:hAnsi="Times New Roman"/>
          <w:b w:val="0"/>
          <w:i w:val="0"/>
          <w:sz w:val="20"/>
        </w:rPr>
        <w:t>Southey et al. [9] introduced Leduc Hold'em, a six-card two-round variant sized so that exact best responses can be computed by exhaustive traversal while genuine bluffing structure remains. It has since become the standard intermediate benchmark and is used here as the largest game in which convergence can be verified against ground truth. For no-limit, where exact computation is impossible, Lisý and Bowling [10] proposed Local Best Response, a cheap adversary that maintains a belief over opponent holdings and greedily maximises immediate expected value. Because it explores only a subset of the strategies available to a true best response, its winnings constitute a rigorous lower bound: a large value proves weakness, while a small value proves nothing. Their striking result was that several published bots proved far more exploitable than head-to-head records suggested.</w:t>
      </w:r>
    </w:p>
    <w:p>
      <w:pPr>
        <w:spacing w:before="140" w:after="40"/>
      </w:pPr>
      <w:r>
        <w:rPr>
          <w:rFonts w:ascii="Times New Roman" w:hAnsi="Times New Roman"/>
          <w:i/>
          <w:sz w:val="20"/>
        </w:rPr>
        <w:t>E.  Landmark Systems</w:t>
      </w:r>
    </w:p>
    <w:p>
      <w:pPr>
        <w:spacing w:after="0"/>
        <w:jc w:val="both"/>
      </w:pPr>
      <w:r>
        <w:rPr>
          <w:rFonts w:ascii="Times New Roman" w:hAnsi="Times New Roman"/>
          <w:b w:val="0"/>
          <w:i w:val="0"/>
          <w:sz w:val="20"/>
        </w:rPr>
        <w:t>DeepStack [11] was the first program to defeat professionals at heads-up no-limit, replacing precomputed abstraction with continual re-solving of local subgames and using neural networks to estimate values beyond its lookahead horizon. Libratus [12] defeated four top professionals over 120,000 hands using a coarse blueprint strategy, nested subgame solving, and a self-improvement module that repaired the abstraction regions opponents were exploiting — illustrating that a fixed abstraction is a persistent liability rather than a one-time simplification. Pluribus [13] extended these results to six-player poker, where equilibrium guarantees no longer apply, which motivates the deliberate ordering of heads-up before multi-player evaluation adopted in this work.</w:t>
      </w:r>
    </w:p>
    <w:p>
      <w:pPr>
        <w:spacing w:before="140" w:after="40"/>
      </w:pPr>
      <w:r>
        <w:rPr>
          <w:rFonts w:ascii="Times New Roman" w:hAnsi="Times New Roman"/>
          <w:i/>
          <w:sz w:val="20"/>
        </w:rPr>
        <w:t>F.  Learning-Based Approaches</w:t>
      </w:r>
    </w:p>
    <w:p>
      <w:pPr>
        <w:spacing w:after="0"/>
        <w:jc w:val="both"/>
      </w:pPr>
      <w:r>
        <w:rPr>
          <w:rFonts w:ascii="Times New Roman" w:hAnsi="Times New Roman"/>
          <w:b w:val="0"/>
          <w:i w:val="0"/>
          <w:sz w:val="20"/>
        </w:rPr>
        <w:t>Proximal policy optimization [14] constrains each policy update through a clipped surrogate objective, preventing the destructive updates that destabilise simpler policy-gradient methods, and is adopted here as the reinforcement learning agent. Its known limitation is that self-play policy gradient does not converge to equilibrium in imperfect-information games. Neural Fictitious Self-Play [15] addresses this by combining reinforcement learning against the opponent's average strategy with supervised learning of the agent's own average behaviour. Deep CFR [16] replaces CFR's regret tables with neural networks, removing the need for hand-designed card abstraction entirely. Salimans et al. [17] demonstrated that population-based black-box optimisation can rival gradient methods while parallelising more cleanly, justifying the inclusion of an evolutionary agent — though it also implies the limitation expected here, that an optimiser receiving one scalar per episode performs no credit assignment across the decisions within it.</w:t>
      </w:r>
    </w:p>
    <w:p>
      <w:pPr>
        <w:spacing w:before="220" w:after="80"/>
        <w:jc w:val="center"/>
      </w:pPr>
      <w:r>
        <w:rPr>
          <w:rFonts w:ascii="Times New Roman" w:hAnsi="Times New Roman"/>
          <w:sz w:val="20"/>
        </w:rPr>
        <w:t>III.  SYSTEM ARCHITECTURE</w:t>
      </w:r>
    </w:p>
    <w:p>
      <w:pPr>
        <w:spacing w:after="0"/>
        <w:jc w:val="both"/>
      </w:pPr>
      <w:r>
        <w:rPr>
          <w:rFonts w:ascii="Times New Roman" w:hAnsi="Times New Roman"/>
          <w:b w:val="0"/>
          <w:i w:val="0"/>
          <w:sz w:val="20"/>
        </w:rPr>
        <w:t>The system is organised as nine modules in a layered pipeline, each depending only on those beneath it. This separation is what permits three dissimilar learning algorithms to be compared fairly: they share the game, the abstraction and the evaluation harness, and differ only in the module that produces a strategy.</w:t>
      </w:r>
    </w:p>
    <w:p>
      <w:pPr>
        <w:spacing w:before="140" w:after="40"/>
      </w:pPr>
      <w:r>
        <w:rPr>
          <w:rFonts w:ascii="Times New Roman" w:hAnsi="Times New Roman"/>
          <w:i/>
          <w:sz w:val="20"/>
        </w:rPr>
        <w:t>A.  Poker Engine</w:t>
      </w:r>
    </w:p>
    <w:p>
      <w:pPr>
        <w:spacing w:after="0"/>
        <w:jc w:val="both"/>
      </w:pPr>
      <w:r>
        <w:rPr>
          <w:rFonts w:ascii="Times New Roman" w:hAnsi="Times New Roman"/>
          <w:b w:val="0"/>
          <w:i w:val="0"/>
          <w:sz w:val="20"/>
        </w:rPr>
        <w:t>A complete Texas Hold'em implementation handling dealing, four betting rounds, minimum-raise enforcement, side pots and hand evaluation across eleven categories, built as an event-driven state machine in which each action transitions the game to a new legal state. Since every result is denominated in chips this module accounts for, it was verified by driving 2,400 randomised hands and confirming exact chip conservation, correct side-pot allocation, and agreement between two independent evaluators over 2,000 showdowns.</w:t>
      </w:r>
    </w:p>
    <w:p>
      <w:pPr>
        <w:spacing w:before="140" w:after="40"/>
      </w:pPr>
      <w:r>
        <w:rPr>
          <w:rFonts w:ascii="Times New Roman" w:hAnsi="Times New Roman"/>
          <w:i/>
          <w:sz w:val="20"/>
        </w:rPr>
        <w:t>B.  Traversable Game Interface</w:t>
      </w:r>
    </w:p>
    <w:p>
      <w:pPr>
        <w:spacing w:after="0"/>
        <w:jc w:val="both"/>
      </w:pPr>
      <w:r>
        <w:rPr>
          <w:rFonts w:ascii="Times New Roman" w:hAnsi="Times New Roman"/>
          <w:b w:val="0"/>
          <w:i w:val="0"/>
          <w:sz w:val="20"/>
        </w:rPr>
        <w:t>Regret minimization traverses a game rather than playing it, recursing into all actions and backing up, which a conventional simulator cannot support because it mutates state in place. This module provides an immutable-state interface in which each state is a value, implemented for Kuhn poker, Leduc Hold'em and abstracted heads-up no-limit Hold'em.</w:t>
      </w:r>
    </w:p>
    <w:p>
      <w:pPr>
        <w:spacing w:before="140" w:after="40"/>
      </w:pPr>
      <w:r>
        <w:rPr>
          <w:rFonts w:ascii="Times New Roman" w:hAnsi="Times New Roman"/>
          <w:i/>
          <w:sz w:val="20"/>
        </w:rPr>
        <w:t>C.  Card Abstraction</w:t>
      </w:r>
    </w:p>
    <w:p>
      <w:pPr>
        <w:spacing w:after="0"/>
        <w:jc w:val="both"/>
      </w:pPr>
      <w:r>
        <w:rPr>
          <w:rFonts w:ascii="Times New Roman" w:hAnsi="Times New Roman"/>
          <w:b w:val="0"/>
          <w:i w:val="0"/>
          <w:sz w:val="20"/>
        </w:rPr>
        <w:t>Two clustering strategies are used. Preflop, all 169 strategically distinct starting hands are enumerated exactly and grouped by the Chen formula. Postflop, where enumeration is impossible, situations are sampled and clustered by one-dimensional k-means. Two competing strength signals are implemented — Monte Carlo equity, which accounts for draws, and made-hand strength, which is far cheaper but blind to them.</w:t>
      </w:r>
    </w:p>
    <w:p>
      <w:pPr>
        <w:spacing w:before="140" w:after="40"/>
      </w:pPr>
      <w:r>
        <w:rPr>
          <w:rFonts w:ascii="Times New Roman" w:hAnsi="Times New Roman"/>
          <w:i/>
          <w:sz w:val="20"/>
        </w:rPr>
        <w:t>D.  Bet Abstraction</w:t>
      </w:r>
    </w:p>
    <w:p>
      <w:pPr>
        <w:spacing w:after="0"/>
        <w:jc w:val="both"/>
      </w:pPr>
      <w:r>
        <w:rPr>
          <w:rFonts w:ascii="Times New Roman" w:hAnsi="Times New Roman"/>
          <w:b w:val="0"/>
          <w:i w:val="0"/>
          <w:sz w:val="20"/>
        </w:rPr>
        <w:t>A six-action space — fold, check/call, half-pot raise, pot raise, double-pot raise and all-in — bounds the continuous space of wagers. The resulting betting tree is enumerated combinatorially so that the size of the abstract game is computed exactly, and multiplying by the available buckets yields the memory requirement before training begins.</w:t>
      </w:r>
    </w:p>
    <w:p>
      <w:pPr>
        <w:spacing w:before="140" w:after="40"/>
      </w:pPr>
      <w:r>
        <w:rPr>
          <w:rFonts w:ascii="Times New Roman" w:hAnsi="Times New Roman"/>
          <w:i/>
          <w:sz w:val="20"/>
        </w:rPr>
        <w:t>E.  Regret Minimization Solvers</w:t>
      </w:r>
    </w:p>
    <w:p>
      <w:pPr>
        <w:spacing w:after="0"/>
        <w:jc w:val="both"/>
      </w:pPr>
      <w:r>
        <w:rPr>
          <w:rFonts w:ascii="Times New Roman" w:hAnsi="Times New Roman"/>
          <w:b w:val="0"/>
          <w:i w:val="0"/>
          <w:sz w:val="20"/>
        </w:rPr>
        <w:t>Vanilla CFR is implemented for small games where full traversal is feasible, and external-sampling Monte Carlo CFR for no-limit. Four regret update rules are implemented and compared. The module accumulates counterfactual regret at each information set and derives the average strategy, which is the quantity that converges toward equilibrium.</w:t>
      </w:r>
    </w:p>
    <w:p>
      <w:pPr>
        <w:spacing w:before="140" w:after="40"/>
      </w:pPr>
      <w:r>
        <w:rPr>
          <w:rFonts w:ascii="Times New Roman" w:hAnsi="Times New Roman"/>
          <w:i/>
          <w:sz w:val="20"/>
        </w:rPr>
        <w:t>F.  Exploitability Measurement</w:t>
      </w:r>
    </w:p>
    <w:p>
      <w:pPr>
        <w:spacing w:after="0"/>
        <w:jc w:val="both"/>
      </w:pPr>
      <w:r>
        <w:rPr>
          <w:rFonts w:ascii="Times New Roman" w:hAnsi="Times New Roman"/>
          <w:b w:val="0"/>
          <w:i w:val="0"/>
          <w:sz w:val="20"/>
        </w:rPr>
        <w:t>On small games exploitability is computed exactly by constructing a best response through tree traversal. On no-limit, Local Best Response provides a lower bound. The framework reports the one-sided nature of that guarantee explicitly rather than treating a small value as evidence of strength.</w:t>
      </w:r>
    </w:p>
    <w:p>
      <w:pPr>
        <w:spacing w:before="140" w:after="40"/>
      </w:pPr>
      <w:r>
        <w:rPr>
          <w:rFonts w:ascii="Times New Roman" w:hAnsi="Times New Roman"/>
          <w:i/>
          <w:sz w:val="20"/>
        </w:rPr>
        <w:t>G.  Action Translation</w:t>
      </w:r>
    </w:p>
    <w:p>
      <w:pPr>
        <w:spacing w:after="0"/>
        <w:jc w:val="both"/>
      </w:pPr>
      <w:r>
        <w:rPr>
          <w:rFonts w:ascii="Times New Roman" w:hAnsi="Times New Roman"/>
          <w:b w:val="0"/>
          <w:i w:val="0"/>
          <w:sz w:val="20"/>
        </w:rPr>
        <w:t>The pseudo-harmonic mapping distributes an off-tree bet probabilistically across its two neighbouring abstract sizes. Nearest-neighbour rounding was rejected because its deterministic boundary permits an adversary to inflate measured exploitability with an artifact of the mapping rather than a property of the agent.</w:t>
      </w:r>
    </w:p>
    <w:p>
      <w:pPr>
        <w:spacing w:before="140" w:after="40"/>
      </w:pPr>
      <w:r>
        <w:rPr>
          <w:rFonts w:ascii="Times New Roman" w:hAnsi="Times New Roman"/>
          <w:i/>
          <w:sz w:val="20"/>
        </w:rPr>
        <w:t>H.  Evaluation Harness</w:t>
      </w:r>
    </w:p>
    <w:p>
      <w:pPr>
        <w:spacing w:after="0"/>
        <w:jc w:val="both"/>
      </w:pPr>
      <w:r>
        <w:rPr>
          <w:rFonts w:ascii="Times New Roman" w:hAnsi="Times New Roman"/>
          <w:b w:val="0"/>
          <w:i w:val="0"/>
          <w:sz w:val="20"/>
        </w:rPr>
        <w:t>Agents are played against each other using duplicate play, a variance-reduction technique in which each hand is dealt twice with the seats swapped and identical cards replayed, so that position and card luck both cancel. Every result carries a standard error, and the harness declines to declare a winner when a difference lies inside its own noise.</w:t>
      </w:r>
    </w:p>
    <w:p>
      <w:pPr>
        <w:spacing w:before="140" w:after="40"/>
      </w:pPr>
      <w:r>
        <w:rPr>
          <w:rFonts w:ascii="Times New Roman" w:hAnsi="Times New Roman"/>
          <w:i/>
          <w:sz w:val="20"/>
        </w:rPr>
        <w:t>I.  Observation and Learning Layer</w:t>
      </w:r>
    </w:p>
    <w:p>
      <w:pPr>
        <w:spacing w:after="0"/>
        <w:jc w:val="both"/>
      </w:pPr>
      <w:r>
        <w:rPr>
          <w:rFonts w:ascii="Times New Roman" w:hAnsi="Times New Roman"/>
          <w:b w:val="0"/>
          <w:i w:val="0"/>
          <w:sz w:val="20"/>
        </w:rPr>
        <w:t>The evolutionary and reinforcement learning agents consume a numerical feature vector — position, stack depth, pot odds, betting round and hand strength — rather than an abstract bucket. This vector feeds a policy network trained either by evolutionary selection and mutation or by proximal policy optimization. Its quality was audited experimentally, since a learning algorithm cannot recover information its inputs never contained.</w:t>
      </w:r>
    </w:p>
    <w:p>
      <w:pPr>
        <w:spacing w:before="220" w:after="80"/>
        <w:jc w:val="center"/>
      </w:pPr>
      <w:r>
        <w:rPr>
          <w:rFonts w:ascii="Times New Roman" w:hAnsi="Times New Roman"/>
          <w:sz w:val="20"/>
        </w:rPr>
        <w:t>IV.  AGENTS AND IMPLEMENTATION</w:t>
      </w:r>
    </w:p>
    <w:p>
      <w:pPr>
        <w:spacing w:after="0"/>
        <w:jc w:val="both"/>
      </w:pPr>
      <w:r>
        <w:rPr>
          <w:rFonts w:ascii="Times New Roman" w:hAnsi="Times New Roman"/>
          <w:b w:val="0"/>
          <w:i w:val="0"/>
          <w:sz w:val="20"/>
        </w:rPr>
        <w:t>Six agent types are implemented against a common interface, so that any may be substituted into any matchup without modifying the harness. The CFR agent plays a strategy produced by regret minimization and is the only agent with a theoretical guarantee, serving as the reference point. The evolutionary agent is a policy network optimised by selection and Gaussian mutation with elite preservation. The PPO agent is a policy network trained from self-play experience using clipped updates and generalised advantage estimation. The Local Best Response agent is an adversary rather than a competitor, existing to attack a trained strategy and measure its exploitability. A random agent and an always-call agent provide reproducible baselines: the former is the floor any trained agent must clear, and the latter can only be exploited by an agent that bets for value.</w:t>
      </w:r>
    </w:p>
    <w:p>
      <w:pPr>
        <w:spacing w:after="0"/>
        <w:ind w:firstLine="288"/>
        <w:jc w:val="both"/>
      </w:pPr>
      <w:r>
        <w:rPr>
          <w:rFonts w:ascii="Times New Roman" w:hAnsi="Times New Roman"/>
          <w:b w:val="0"/>
          <w:i w:val="0"/>
          <w:sz w:val="20"/>
        </w:rPr>
        <w:t>The implementation is deliberately dependency-light, since a project whose central claim concerns measurement should not rest on components it cannot inspect. The engine, solvers, abstraction and harness are written from scratch in Python 3.12 using NumPy for vectorised arithmetic and Numba for just-in-time compilation of the hand evaluator, which lies on the hot path of every traversal. PyTorch provides the actor-critic network. The system carries 197 regression tests, and every experimental result is stored as JSON alongside the script that produced it.</w:t>
      </w:r>
    </w:p>
    <w:p>
      <w:pPr>
        <w:spacing w:before="220" w:after="80"/>
        <w:jc w:val="center"/>
      </w:pPr>
      <w:r>
        <w:rPr>
          <w:rFonts w:ascii="Times New Roman" w:hAnsi="Times New Roman"/>
          <w:sz w:val="20"/>
        </w:rPr>
        <w:t>V.  EXPERIMENTAL METHODOLOGY</w:t>
      </w:r>
    </w:p>
    <w:p>
      <w:pPr>
        <w:spacing w:after="0"/>
        <w:jc w:val="both"/>
      </w:pPr>
      <w:r>
        <w:rPr>
          <w:rFonts w:ascii="Times New Roman" w:hAnsi="Times New Roman"/>
          <w:b w:val="0"/>
          <w:i w:val="0"/>
          <w:sz w:val="20"/>
        </w:rPr>
        <w:t>All experiments are conducted in heads-up no-limit Hold'em with 200-chip stacks and blinds of one and two chips. Card abstractions use six buckets per street and the betting abstraction permits one raise per street, which is the parameter that determines whether the abstract game fits in memory. Every reported figure is averaged over three random seeds and carries a standard error computed as the larger of the within-seed and between-seed estimates, so that a configuration which is merely fortunate in one seed cannot appear precise.</w:t>
      </w:r>
    </w:p>
    <w:p>
      <w:pPr>
        <w:spacing w:after="0"/>
        <w:ind w:firstLine="288"/>
        <w:jc w:val="both"/>
      </w:pPr>
      <w:r>
        <w:rPr>
          <w:rFonts w:ascii="Times New Roman" w:hAnsi="Times New Roman"/>
          <w:b w:val="0"/>
          <w:i w:val="0"/>
          <w:sz w:val="20"/>
        </w:rPr>
        <w:t>Matches use duplicate play with 20,000 hands per matchup and alternating seats. Training budgets are expressed in wall-clock seconds, because the practical question a practitioner faces is which abstraction to use given available time rather than given a fixed iteration count. Machine load is sampled during each training window and stored with every measurement, since a wall-clock budget measures the machine as much as the algorithm.</w:t>
      </w:r>
    </w:p>
    <w:p>
      <w:pPr>
        <w:spacing w:before="220" w:after="80"/>
        <w:jc w:val="center"/>
      </w:pPr>
      <w:r>
        <w:rPr>
          <w:rFonts w:ascii="Times New Roman" w:hAnsi="Times New Roman"/>
          <w:sz w:val="20"/>
        </w:rPr>
        <w:t>VI.  RESULTS AND ANALYSIS</w:t>
      </w:r>
    </w:p>
    <w:p>
      <w:pPr>
        <w:spacing w:before="140" w:after="40"/>
      </w:pPr>
      <w:r>
        <w:rPr>
          <w:rFonts w:ascii="Times New Roman" w:hAnsi="Times New Roman"/>
          <w:i/>
          <w:sz w:val="20"/>
        </w:rPr>
        <w:t>A.  Solver Validation</w:t>
      </w:r>
    </w:p>
    <w:p>
      <w:pPr>
        <w:spacing w:after="0"/>
        <w:jc w:val="both"/>
      </w:pPr>
      <w:r>
        <w:rPr>
          <w:rFonts w:ascii="Times New Roman" w:hAnsi="Times New Roman"/>
          <w:b w:val="0"/>
          <w:i w:val="0"/>
          <w:sz w:val="20"/>
        </w:rPr>
        <w:t>Before any comparison is meaningful the solver must be shown to converge. Leduc Hold'em is small enough for exploitability to be computed exactly by traversal, so convergence is observed directly rather than inferred. Four update rules were run for 64,000 iterations across three seeds each; results appear in Fig. 1.</w:t>
      </w:r>
    </w:p>
    <w:p>
      <w:pPr>
        <w:spacing w:before="160" w:after="40"/>
        <w:jc w:val="center"/>
      </w:pPr>
      <w:r>
        <w:drawing>
          <wp:inline xmlns:a="http://schemas.openxmlformats.org/drawingml/2006/main" xmlns:pic="http://schemas.openxmlformats.org/drawingml/2006/picture">
            <wp:extent cx="3017520" cy="2119932"/>
            <wp:docPr id="1" name="Picture 1"/>
            <wp:cNvGraphicFramePr>
              <a:graphicFrameLocks noChangeAspect="1"/>
            </wp:cNvGraphicFramePr>
            <a:graphic>
              <a:graphicData uri="http://schemas.openxmlformats.org/drawingml/2006/picture">
                <pic:pic>
                  <pic:nvPicPr>
                    <pic:cNvPr id="0" name="fig1_leduc.png"/>
                    <pic:cNvPicPr/>
                  </pic:nvPicPr>
                  <pic:blipFill>
                    <a:blip r:embed="rId9"/>
                    <a:stretch>
                      <a:fillRect/>
                    </a:stretch>
                  </pic:blipFill>
                  <pic:spPr>
                    <a:xfrm>
                      <a:off x="0" y="0"/>
                      <a:ext cx="3017520" cy="2119932"/>
                    </a:xfrm>
                    <a:prstGeom prst="rect"/>
                  </pic:spPr>
                </pic:pic>
              </a:graphicData>
            </a:graphic>
          </wp:inline>
        </w:drawing>
      </w:r>
    </w:p>
    <w:p>
      <w:pPr>
        <w:spacing w:after="160"/>
        <w:jc w:val="both"/>
      </w:pPr>
      <w:r>
        <w:rPr>
          <w:rFonts w:ascii="Times New Roman" w:hAnsi="Times New Roman"/>
          <w:b w:val="0"/>
          <w:i w:val="0"/>
          <w:sz w:val="16"/>
        </w:rPr>
        <w:t>Fig. 1.  Exact exploitability on Leduc Hold'em, logarithmic on both axes. All four update rules converge. CFR+ and DCFR finish worse than plain vanilla (0.0819 and 0.0930 against 0.0615), contrary to published results [4], [5]; the likely cause is that those rules were designed for full traversal whereas this experiment uses external sampling.</w:t>
      </w:r>
    </w:p>
    <w:p>
      <w:pPr>
        <w:spacing w:before="140" w:after="40"/>
      </w:pPr>
      <w:r>
        <w:rPr>
          <w:rFonts w:ascii="Times New Roman" w:hAnsi="Times New Roman"/>
          <w:i/>
          <w:sz w:val="20"/>
        </w:rPr>
        <w:t>B.  The Cost and Benefit of Card Abstraction</w:t>
      </w:r>
    </w:p>
    <w:p>
      <w:pPr>
        <w:spacing w:after="0"/>
        <w:jc w:val="both"/>
      </w:pPr>
      <w:r>
        <w:rPr>
          <w:rFonts w:ascii="Times New Roman" w:hAnsi="Times New Roman"/>
          <w:b w:val="0"/>
          <w:i w:val="0"/>
          <w:sz w:val="20"/>
        </w:rPr>
        <w:t>Monte Carlo equity costs 44.05 ms per solver iteration against 8.11 ms for made-hand strength, a factor of 5.4, so the cheaper signal purchases roughly five times more training. Whether the additional iterations outweigh the lost information is not obvious a priori, and following the pathology reported by Waugh et al. [7] it cannot be assumed. It was resolved by playing the two resulting agents against each other across a ladder of training budgets, shown in Fig. 2 and Table I.</w:t>
      </w:r>
    </w:p>
    <w:p>
      <w:pPr>
        <w:spacing w:before="160" w:after="40"/>
        <w:jc w:val="center"/>
      </w:pPr>
      <w:r>
        <w:drawing>
          <wp:inline xmlns:a="http://schemas.openxmlformats.org/drawingml/2006/main" xmlns:pic="http://schemas.openxmlformats.org/drawingml/2006/picture">
            <wp:extent cx="3017520" cy="1926796"/>
            <wp:docPr id="2" name="Picture 2"/>
            <wp:cNvGraphicFramePr>
              <a:graphicFrameLocks noChangeAspect="1"/>
            </wp:cNvGraphicFramePr>
            <a:graphic>
              <a:graphicData uri="http://schemas.openxmlformats.org/drawingml/2006/picture">
                <pic:pic>
                  <pic:nvPicPr>
                    <pic:cNvPr id="0" name="fig2_crossover.png"/>
                    <pic:cNvPicPr/>
                  </pic:nvPicPr>
                  <pic:blipFill>
                    <a:blip r:embed="rId10"/>
                    <a:stretch>
                      <a:fillRect/>
                    </a:stretch>
                  </pic:blipFill>
                  <pic:spPr>
                    <a:xfrm>
                      <a:off x="0" y="0"/>
                      <a:ext cx="3017520" cy="1926796"/>
                    </a:xfrm>
                    <a:prstGeom prst="rect"/>
                  </pic:spPr>
                </pic:pic>
              </a:graphicData>
            </a:graphic>
          </wp:inline>
        </w:drawing>
      </w:r>
    </w:p>
    <w:p>
      <w:pPr>
        <w:spacing w:after="160"/>
        <w:jc w:val="both"/>
      </w:pPr>
      <w:r>
        <w:rPr>
          <w:rFonts w:ascii="Times New Roman" w:hAnsi="Times New Roman"/>
          <w:b w:val="0"/>
          <w:i w:val="0"/>
          <w:sz w:val="16"/>
        </w:rPr>
        <w:t>Fig. 2.  Head-to-head result by training budget, in chips per hand to the equity agent. Bars right of zero indicate equity bucketing winning. Three seeds, 20,000 hands per matchup, with 95% confidence intervals. A crossover exists between 640 and 2560 seconds.</w:t>
      </w:r>
    </w:p>
    <w:p>
      <w:pPr>
        <w:spacing w:before="160" w:after="60"/>
        <w:jc w:val="center"/>
      </w:pPr>
      <w:r>
        <w:rPr>
          <w:rFonts w:ascii="Times New Roman" w:hAnsi="Times New Roman"/>
          <w:sz w:val="16"/>
        </w:rPr>
        <w:t>TABLE I</w:t>
        <w:br/>
        <w:t>HEAD-TO-HEAD RESULT WITH UNDERLYING ITERATION COUNTS</w:t>
      </w:r>
    </w:p>
    <w:tbl>
      <w:tblPr>
        <w:tblStyle w:val="TableGrid"/>
        <w:tblW w:type="auto" w:w="0"/>
        <w:jc w:val="center"/>
        <w:tblLook w:firstColumn="1" w:firstRow="1" w:lastColumn="0" w:lastRow="0" w:noHBand="0" w:noVBand="1" w:val="04A0"/>
      </w:tblPr>
      <w:tblGrid>
        <w:gridCol w:w="2088"/>
        <w:gridCol w:w="2088"/>
        <w:gridCol w:w="2088"/>
        <w:gridCol w:w="2088"/>
        <w:gridCol w:w="2088"/>
      </w:tblGrid>
      <w:tr>
        <w:tc>
          <w:tcPr>
            <w:tcW w:type="dxa" w:w="2088"/>
          </w:tcPr>
          <w:p>
            <w:r/>
            <w:r>
              <w:rPr>
                <w:rFonts w:ascii="Times New Roman" w:hAnsi="Times New Roman"/>
                <w:b/>
                <w:sz w:val="15"/>
              </w:rPr>
              <w:t>Budget</w:t>
            </w:r>
          </w:p>
        </w:tc>
        <w:tc>
          <w:tcPr>
            <w:tcW w:type="dxa" w:w="2088"/>
          </w:tcPr>
          <w:p>
            <w:r/>
            <w:r>
              <w:rPr>
                <w:rFonts w:ascii="Times New Roman" w:hAnsi="Times New Roman"/>
                <w:b/>
                <w:sz w:val="15"/>
              </w:rPr>
              <w:t>Equity it.</w:t>
            </w:r>
          </w:p>
        </w:tc>
        <w:tc>
          <w:tcPr>
            <w:tcW w:type="dxa" w:w="2088"/>
          </w:tcPr>
          <w:p>
            <w:r/>
            <w:r>
              <w:rPr>
                <w:rFonts w:ascii="Times New Roman" w:hAnsi="Times New Roman"/>
                <w:b/>
                <w:sz w:val="15"/>
              </w:rPr>
              <w:t>Made-hand it.</w:t>
            </w:r>
          </w:p>
        </w:tc>
        <w:tc>
          <w:tcPr>
            <w:tcW w:type="dxa" w:w="2088"/>
          </w:tcPr>
          <w:p>
            <w:r/>
            <w:r>
              <w:rPr>
                <w:rFonts w:ascii="Times New Roman" w:hAnsi="Times New Roman"/>
                <w:b/>
                <w:sz w:val="15"/>
              </w:rPr>
              <w:t>Chips/hand</w:t>
            </w:r>
          </w:p>
        </w:tc>
        <w:tc>
          <w:tcPr>
            <w:tcW w:type="dxa" w:w="2088"/>
          </w:tcPr>
          <w:p>
            <w:r/>
            <w:r>
              <w:rPr>
                <w:rFonts w:ascii="Times New Roman" w:hAnsi="Times New Roman"/>
                <w:b/>
                <w:sz w:val="15"/>
              </w:rPr>
              <w:t>Verdict</w:t>
            </w:r>
          </w:p>
        </w:tc>
      </w:tr>
      <w:tr>
        <w:tc>
          <w:tcPr>
            <w:tcW w:type="dxa" w:w="2088"/>
          </w:tcPr>
          <w:p>
            <w:r/>
            <w:r>
              <w:rPr>
                <w:rFonts w:ascii="Times New Roman" w:hAnsi="Times New Roman"/>
                <w:sz w:val="15"/>
              </w:rPr>
              <w:t>40 s</w:t>
            </w:r>
          </w:p>
        </w:tc>
        <w:tc>
          <w:tcPr>
            <w:tcW w:type="dxa" w:w="2088"/>
          </w:tcPr>
          <w:p>
            <w:r/>
            <w:r>
              <w:rPr>
                <w:rFonts w:ascii="Times New Roman" w:hAnsi="Times New Roman"/>
                <w:sz w:val="15"/>
              </w:rPr>
              <w:t>1,075</w:t>
            </w:r>
          </w:p>
        </w:tc>
        <w:tc>
          <w:tcPr>
            <w:tcW w:type="dxa" w:w="2088"/>
          </w:tcPr>
          <w:p>
            <w:r/>
            <w:r>
              <w:rPr>
                <w:rFonts w:ascii="Times New Roman" w:hAnsi="Times New Roman"/>
                <w:sz w:val="15"/>
              </w:rPr>
              <w:t>5,600</w:t>
            </w:r>
          </w:p>
        </w:tc>
        <w:tc>
          <w:tcPr>
            <w:tcW w:type="dxa" w:w="2088"/>
          </w:tcPr>
          <w:p>
            <w:r/>
            <w:r>
              <w:rPr>
                <w:rFonts w:ascii="Times New Roman" w:hAnsi="Times New Roman"/>
                <w:sz w:val="15"/>
              </w:rPr>
              <w:t>−3.136 ± 0.729</w:t>
            </w:r>
          </w:p>
        </w:tc>
        <w:tc>
          <w:tcPr>
            <w:tcW w:type="dxa" w:w="2088"/>
          </w:tcPr>
          <w:p>
            <w:r/>
            <w:r>
              <w:rPr>
                <w:rFonts w:ascii="Times New Roman" w:hAnsi="Times New Roman"/>
                <w:sz w:val="15"/>
              </w:rPr>
              <w:t>made-hand</w:t>
            </w:r>
          </w:p>
        </w:tc>
      </w:tr>
      <w:tr>
        <w:tc>
          <w:tcPr>
            <w:tcW w:type="dxa" w:w="2088"/>
          </w:tcPr>
          <w:p>
            <w:r/>
            <w:r>
              <w:rPr>
                <w:rFonts w:ascii="Times New Roman" w:hAnsi="Times New Roman"/>
                <w:sz w:val="15"/>
              </w:rPr>
              <w:t>160 s</w:t>
            </w:r>
          </w:p>
        </w:tc>
        <w:tc>
          <w:tcPr>
            <w:tcW w:type="dxa" w:w="2088"/>
          </w:tcPr>
          <w:p>
            <w:r/>
            <w:r>
              <w:rPr>
                <w:rFonts w:ascii="Times New Roman" w:hAnsi="Times New Roman"/>
                <w:sz w:val="15"/>
              </w:rPr>
              <w:t>3,808</w:t>
            </w:r>
          </w:p>
        </w:tc>
        <w:tc>
          <w:tcPr>
            <w:tcW w:type="dxa" w:w="2088"/>
          </w:tcPr>
          <w:p>
            <w:r/>
            <w:r>
              <w:rPr>
                <w:rFonts w:ascii="Times New Roman" w:hAnsi="Times New Roman"/>
                <w:sz w:val="15"/>
              </w:rPr>
              <w:t>19,758</w:t>
            </w:r>
          </w:p>
        </w:tc>
        <w:tc>
          <w:tcPr>
            <w:tcW w:type="dxa" w:w="2088"/>
          </w:tcPr>
          <w:p>
            <w:r/>
            <w:r>
              <w:rPr>
                <w:rFonts w:ascii="Times New Roman" w:hAnsi="Times New Roman"/>
                <w:sz w:val="15"/>
              </w:rPr>
              <w:t>−1.531 ± 0.164</w:t>
            </w:r>
          </w:p>
        </w:tc>
        <w:tc>
          <w:tcPr>
            <w:tcW w:type="dxa" w:w="2088"/>
          </w:tcPr>
          <w:p>
            <w:r/>
            <w:r>
              <w:rPr>
                <w:rFonts w:ascii="Times New Roman" w:hAnsi="Times New Roman"/>
                <w:sz w:val="15"/>
              </w:rPr>
              <w:t>made-hand</w:t>
            </w:r>
          </w:p>
        </w:tc>
      </w:tr>
      <w:tr>
        <w:tc>
          <w:tcPr>
            <w:tcW w:type="dxa" w:w="2088"/>
          </w:tcPr>
          <w:p>
            <w:r/>
            <w:r>
              <w:rPr>
                <w:rFonts w:ascii="Times New Roman" w:hAnsi="Times New Roman"/>
                <w:sz w:val="15"/>
              </w:rPr>
              <w:t>640 s</w:t>
            </w:r>
          </w:p>
        </w:tc>
        <w:tc>
          <w:tcPr>
            <w:tcW w:type="dxa" w:w="2088"/>
          </w:tcPr>
          <w:p>
            <w:r/>
            <w:r>
              <w:rPr>
                <w:rFonts w:ascii="Times New Roman" w:hAnsi="Times New Roman"/>
                <w:sz w:val="15"/>
              </w:rPr>
              <w:t>14,850</w:t>
            </w:r>
          </w:p>
        </w:tc>
        <w:tc>
          <w:tcPr>
            <w:tcW w:type="dxa" w:w="2088"/>
          </w:tcPr>
          <w:p>
            <w:r/>
            <w:r>
              <w:rPr>
                <w:rFonts w:ascii="Times New Roman" w:hAnsi="Times New Roman"/>
                <w:sz w:val="15"/>
              </w:rPr>
              <w:t>73,158</w:t>
            </w:r>
          </w:p>
        </w:tc>
        <w:tc>
          <w:tcPr>
            <w:tcW w:type="dxa" w:w="2088"/>
          </w:tcPr>
          <w:p>
            <w:r/>
            <w:r>
              <w:rPr>
                <w:rFonts w:ascii="Times New Roman" w:hAnsi="Times New Roman"/>
                <w:sz w:val="15"/>
              </w:rPr>
              <w:t>+0.273 ± 0.203</w:t>
            </w:r>
          </w:p>
        </w:tc>
        <w:tc>
          <w:tcPr>
            <w:tcW w:type="dxa" w:w="2088"/>
          </w:tcPr>
          <w:p>
            <w:r/>
            <w:r>
              <w:rPr>
                <w:rFonts w:ascii="Times New Roman" w:hAnsi="Times New Roman"/>
                <w:sz w:val="15"/>
              </w:rPr>
              <w:t>not sep.</w:t>
            </w:r>
          </w:p>
        </w:tc>
      </w:tr>
      <w:tr>
        <w:tc>
          <w:tcPr>
            <w:tcW w:type="dxa" w:w="2088"/>
          </w:tcPr>
          <w:p>
            <w:r/>
            <w:r>
              <w:rPr>
                <w:rFonts w:ascii="Times New Roman" w:hAnsi="Times New Roman"/>
                <w:sz w:val="15"/>
              </w:rPr>
              <w:t>2560 s</w:t>
            </w:r>
          </w:p>
        </w:tc>
        <w:tc>
          <w:tcPr>
            <w:tcW w:type="dxa" w:w="2088"/>
          </w:tcPr>
          <w:p>
            <w:r/>
            <w:r>
              <w:rPr>
                <w:rFonts w:ascii="Times New Roman" w:hAnsi="Times New Roman"/>
                <w:sz w:val="15"/>
              </w:rPr>
              <w:t>60,117</w:t>
            </w:r>
          </w:p>
        </w:tc>
        <w:tc>
          <w:tcPr>
            <w:tcW w:type="dxa" w:w="2088"/>
          </w:tcPr>
          <w:p>
            <w:r/>
            <w:r>
              <w:rPr>
                <w:rFonts w:ascii="Times New Roman" w:hAnsi="Times New Roman"/>
                <w:sz w:val="15"/>
              </w:rPr>
              <w:t>288,050</w:t>
            </w:r>
          </w:p>
        </w:tc>
        <w:tc>
          <w:tcPr>
            <w:tcW w:type="dxa" w:w="2088"/>
          </w:tcPr>
          <w:p>
            <w:r/>
            <w:r>
              <w:rPr>
                <w:rFonts w:ascii="Times New Roman" w:hAnsi="Times New Roman"/>
                <w:sz w:val="15"/>
              </w:rPr>
              <w:t>+0.916 ± 0.118</w:t>
            </w:r>
          </w:p>
        </w:tc>
        <w:tc>
          <w:tcPr>
            <w:tcW w:type="dxa" w:w="2088"/>
          </w:tcPr>
          <w:p>
            <w:r/>
            <w:r>
              <w:rPr>
                <w:rFonts w:ascii="Times New Roman" w:hAnsi="Times New Roman"/>
                <w:sz w:val="15"/>
              </w:rPr>
              <w:t>equity</w:t>
            </w:r>
          </w:p>
        </w:tc>
      </w:tr>
    </w:tbl>
    <w:p>
      <w:pPr>
        <w:spacing w:after="120"/>
      </w:pPr>
    </w:p>
    <w:p>
      <w:pPr>
        <w:spacing w:after="0"/>
        <w:jc w:val="both"/>
      </w:pPr>
      <w:r>
        <w:rPr>
          <w:rFonts w:ascii="Times New Roman" w:hAnsi="Times New Roman"/>
          <w:b w:val="0"/>
          <w:i w:val="0"/>
          <w:sz w:val="20"/>
        </w:rPr>
        <w:t>The cheap abstraction wins decisively at short budgets, where its fivefold iteration advantage dominates. The advantage vanishes near 640 seconds, and by 2560 seconds equity bucketing wins by 0.916 ± 0.118 chips per hand, approximately 7.8 standard errors from zero, while training on 60,117 iterations against its opponent's 288,050. All three seeds agree in direction at every budget.</w:t>
      </w:r>
    </w:p>
    <w:p>
      <w:pPr>
        <w:spacing w:before="140" w:after="40"/>
      </w:pPr>
      <w:r>
        <w:rPr>
          <w:rFonts w:ascii="Times New Roman" w:hAnsi="Times New Roman"/>
          <w:i/>
          <w:sz w:val="20"/>
        </w:rPr>
        <w:t>C.  Audit of the Learning Agents' Observation</w:t>
      </w:r>
    </w:p>
    <w:p>
      <w:pPr>
        <w:spacing w:after="0"/>
        <w:jc w:val="both"/>
      </w:pPr>
      <w:r>
        <w:rPr>
          <w:rFonts w:ascii="Times New Roman" w:hAnsi="Times New Roman"/>
          <w:b w:val="0"/>
          <w:i w:val="0"/>
          <w:sz w:val="20"/>
        </w:rPr>
        <w:t>Because the evolutionary and reinforcement learning agents consume a feature vector rather than an abstract bucket, the quality of that vector bounds what either can learn. It was audited by sampling 1,500 decision states, computing each state's true equity by Monte Carlo simulation, and measuring by regression how much of that equity the vector recovers. Results appear in Fig. 3.</w:t>
      </w:r>
    </w:p>
    <w:p>
      <w:pPr>
        <w:spacing w:before="160" w:after="40"/>
        <w:jc w:val="center"/>
      </w:pPr>
      <w:r>
        <w:drawing>
          <wp:inline xmlns:a="http://schemas.openxmlformats.org/drawingml/2006/main" xmlns:pic="http://schemas.openxmlformats.org/drawingml/2006/picture">
            <wp:extent cx="3017520" cy="1937422"/>
            <wp:docPr id="3" name="Picture 3"/>
            <wp:cNvGraphicFramePr>
              <a:graphicFrameLocks noChangeAspect="1"/>
            </wp:cNvGraphicFramePr>
            <a:graphic>
              <a:graphicData uri="http://schemas.openxmlformats.org/drawingml/2006/picture">
                <pic:pic>
                  <pic:nvPicPr>
                    <pic:cNvPr id="0" name="fig3_features.png"/>
                    <pic:cNvPicPr/>
                  </pic:nvPicPr>
                  <pic:blipFill>
                    <a:blip r:embed="rId11"/>
                    <a:stretch>
                      <a:fillRect/>
                    </a:stretch>
                  </pic:blipFill>
                  <pic:spPr>
                    <a:xfrm>
                      <a:off x="0" y="0"/>
                      <a:ext cx="3017520" cy="1937422"/>
                    </a:xfrm>
                    <a:prstGeom prst="rect"/>
                  </pic:spPr>
                </pic:pic>
              </a:graphicData>
            </a:graphic>
          </wp:inline>
        </w:drawing>
      </w:r>
    </w:p>
    <w:p>
      <w:pPr>
        <w:spacing w:after="160"/>
        <w:jc w:val="both"/>
      </w:pPr>
      <w:r>
        <w:rPr>
          <w:rFonts w:ascii="Times New Roman" w:hAnsi="Times New Roman"/>
          <w:b w:val="0"/>
          <w:i w:val="0"/>
          <w:sz w:val="16"/>
        </w:rPr>
        <w:t>Fig. 3.  Coefficient of determination against true equity. Removing a single feature — hand strength — collapses explanatory power to 0.013, showing that the remaining sixteen features carry almost no information about the player's own cards. Four inexpensive binary draw and texture features raise the postflop figure from 0.475 to 0.637.</w:t>
      </w:r>
    </w:p>
    <w:p>
      <w:pPr>
        <w:spacing w:after="0"/>
        <w:jc w:val="both"/>
      </w:pPr>
      <w:r>
        <w:rPr>
          <w:rFonts w:ascii="Times New Roman" w:hAnsi="Times New Roman"/>
          <w:b w:val="0"/>
          <w:i w:val="0"/>
          <w:sz w:val="20"/>
        </w:rPr>
        <w:t>Principal component analysis established that the seventeen-slot vector carries only six independent dimensions. More consequentially, postflop states sharing a near-identical hand-strength value — states the agent receives as indistinguishable inputs — were measured to differ in true equity by as much as 0.907, meaning one hand may be a 5% underdog and another a 95% favourite while appearing identical to the network. This is an information limit rather than a modelling one, and no amount of additional training can overcome it.</w:t>
      </w:r>
    </w:p>
    <w:p>
      <w:pPr>
        <w:spacing w:before="160" w:after="60"/>
        <w:jc w:val="center"/>
      </w:pPr>
      <w:r>
        <w:rPr>
          <w:rFonts w:ascii="Times New Roman" w:hAnsi="Times New Roman"/>
          <w:sz w:val="16"/>
        </w:rPr>
        <w:t>TABLE II</w:t>
        <w:br/>
        <w:t>MEASURED PROPERTIES BY MODULE</w:t>
      </w:r>
    </w:p>
    <w:tbl>
      <w:tblPr>
        <w:tblStyle w:val="TableGrid"/>
        <w:tblW w:type="auto" w:w="0"/>
        <w:jc w:val="center"/>
        <w:tblLook w:firstColumn="1" w:firstRow="1" w:lastColumn="0" w:lastRow="0" w:noHBand="0" w:noVBand="1" w:val="04A0"/>
      </w:tblPr>
      <w:tblGrid>
        <w:gridCol w:w="3480"/>
        <w:gridCol w:w="3480"/>
        <w:gridCol w:w="3480"/>
      </w:tblGrid>
      <w:tr>
        <w:tc>
          <w:tcPr>
            <w:tcW w:type="dxa" w:w="3480"/>
          </w:tcPr>
          <w:p>
            <w:r/>
            <w:r>
              <w:rPr>
                <w:rFonts w:ascii="Times New Roman" w:hAnsi="Times New Roman"/>
                <w:b/>
                <w:sz w:val="15"/>
              </w:rPr>
              <w:t>Module</w:t>
            </w:r>
          </w:p>
        </w:tc>
        <w:tc>
          <w:tcPr>
            <w:tcW w:type="dxa" w:w="3480"/>
          </w:tcPr>
          <w:p>
            <w:r/>
            <w:r>
              <w:rPr>
                <w:rFonts w:ascii="Times New Roman" w:hAnsi="Times New Roman"/>
                <w:b/>
                <w:sz w:val="15"/>
              </w:rPr>
              <w:t>Property measured</w:t>
            </w:r>
          </w:p>
        </w:tc>
        <w:tc>
          <w:tcPr>
            <w:tcW w:type="dxa" w:w="3480"/>
          </w:tcPr>
          <w:p>
            <w:r/>
            <w:r>
              <w:rPr>
                <w:rFonts w:ascii="Times New Roman" w:hAnsi="Times New Roman"/>
                <w:b/>
                <w:sz w:val="15"/>
              </w:rPr>
              <w:t>Result</w:t>
            </w:r>
          </w:p>
        </w:tc>
      </w:tr>
      <w:tr>
        <w:tc>
          <w:tcPr>
            <w:tcW w:type="dxa" w:w="3480"/>
          </w:tcPr>
          <w:p>
            <w:r/>
            <w:r>
              <w:rPr>
                <w:rFonts w:ascii="Times New Roman" w:hAnsi="Times New Roman"/>
                <w:sz w:val="15"/>
              </w:rPr>
              <w:t>Engine</w:t>
            </w:r>
          </w:p>
        </w:tc>
        <w:tc>
          <w:tcPr>
            <w:tcW w:type="dxa" w:w="3480"/>
          </w:tcPr>
          <w:p>
            <w:r/>
            <w:r>
              <w:rPr>
                <w:rFonts w:ascii="Times New Roman" w:hAnsi="Times New Roman"/>
                <w:sz w:val="15"/>
              </w:rPr>
              <w:t>Chip conservation, 2,400 hands</w:t>
            </w:r>
          </w:p>
        </w:tc>
        <w:tc>
          <w:tcPr>
            <w:tcW w:type="dxa" w:w="3480"/>
          </w:tcPr>
          <w:p>
            <w:r/>
            <w:r>
              <w:rPr>
                <w:rFonts w:ascii="Times New Roman" w:hAnsi="Times New Roman"/>
                <w:sz w:val="15"/>
              </w:rPr>
              <w:t>exact</w:t>
            </w:r>
          </w:p>
        </w:tc>
      </w:tr>
      <w:tr>
        <w:tc>
          <w:tcPr>
            <w:tcW w:type="dxa" w:w="3480"/>
          </w:tcPr>
          <w:p>
            <w:r/>
            <w:r>
              <w:rPr>
                <w:rFonts w:ascii="Times New Roman" w:hAnsi="Times New Roman"/>
                <w:sz w:val="15"/>
              </w:rPr>
              <w:t>Engine</w:t>
            </w:r>
          </w:p>
        </w:tc>
        <w:tc>
          <w:tcPr>
            <w:tcW w:type="dxa" w:w="3480"/>
          </w:tcPr>
          <w:p>
            <w:r/>
            <w:r>
              <w:rPr>
                <w:rFonts w:ascii="Times New Roman" w:hAnsi="Times New Roman"/>
                <w:sz w:val="15"/>
              </w:rPr>
              <w:t>Evaluator agreement, 2,000 showdowns</w:t>
            </w:r>
          </w:p>
        </w:tc>
        <w:tc>
          <w:tcPr>
            <w:tcW w:type="dxa" w:w="3480"/>
          </w:tcPr>
          <w:p>
            <w:r/>
            <w:r>
              <w:rPr>
                <w:rFonts w:ascii="Times New Roman" w:hAnsi="Times New Roman"/>
                <w:sz w:val="15"/>
              </w:rPr>
              <w:t>0 disagreements</w:t>
            </w:r>
          </w:p>
        </w:tc>
      </w:tr>
      <w:tr>
        <w:tc>
          <w:tcPr>
            <w:tcW w:type="dxa" w:w="3480"/>
          </w:tcPr>
          <w:p>
            <w:r/>
            <w:r>
              <w:rPr>
                <w:rFonts w:ascii="Times New Roman" w:hAnsi="Times New Roman"/>
                <w:sz w:val="15"/>
              </w:rPr>
              <w:t>Interface</w:t>
            </w:r>
          </w:p>
        </w:tc>
        <w:tc>
          <w:tcPr>
            <w:tcW w:type="dxa" w:w="3480"/>
          </w:tcPr>
          <w:p>
            <w:r/>
            <w:r>
              <w:rPr>
                <w:rFonts w:ascii="Times New Roman" w:hAnsi="Times New Roman"/>
                <w:sz w:val="15"/>
              </w:rPr>
              <w:t>Kuhn value vs analytic −1/18</w:t>
            </w:r>
          </w:p>
        </w:tc>
        <w:tc>
          <w:tcPr>
            <w:tcW w:type="dxa" w:w="3480"/>
          </w:tcPr>
          <w:p>
            <w:r/>
            <w:r>
              <w:rPr>
                <w:rFonts w:ascii="Times New Roman" w:hAnsi="Times New Roman"/>
                <w:sz w:val="15"/>
              </w:rPr>
              <w:t>reproduced</w:t>
            </w:r>
          </w:p>
        </w:tc>
      </w:tr>
      <w:tr>
        <w:tc>
          <w:tcPr>
            <w:tcW w:type="dxa" w:w="3480"/>
          </w:tcPr>
          <w:p>
            <w:r/>
            <w:r>
              <w:rPr>
                <w:rFonts w:ascii="Times New Roman" w:hAnsi="Times New Roman"/>
                <w:sz w:val="15"/>
              </w:rPr>
              <w:t>Solvers</w:t>
            </w:r>
          </w:p>
        </w:tc>
        <w:tc>
          <w:tcPr>
            <w:tcW w:type="dxa" w:w="3480"/>
          </w:tcPr>
          <w:p>
            <w:r/>
            <w:r>
              <w:rPr>
                <w:rFonts w:ascii="Times New Roman" w:hAnsi="Times New Roman"/>
                <w:sz w:val="15"/>
              </w:rPr>
              <w:t>Leduc exploitability at 64k it.</w:t>
            </w:r>
          </w:p>
        </w:tc>
        <w:tc>
          <w:tcPr>
            <w:tcW w:type="dxa" w:w="3480"/>
          </w:tcPr>
          <w:p>
            <w:r/>
            <w:r>
              <w:rPr>
                <w:rFonts w:ascii="Times New Roman" w:hAnsi="Times New Roman"/>
                <w:sz w:val="15"/>
              </w:rPr>
              <w:t>0.0559–0.0930</w:t>
            </w:r>
          </w:p>
        </w:tc>
      </w:tr>
      <w:tr>
        <w:tc>
          <w:tcPr>
            <w:tcW w:type="dxa" w:w="3480"/>
          </w:tcPr>
          <w:p>
            <w:r/>
            <w:r>
              <w:rPr>
                <w:rFonts w:ascii="Times New Roman" w:hAnsi="Times New Roman"/>
                <w:sz w:val="15"/>
              </w:rPr>
              <w:t>Card abstr.</w:t>
            </w:r>
          </w:p>
        </w:tc>
        <w:tc>
          <w:tcPr>
            <w:tcW w:type="dxa" w:w="3480"/>
          </w:tcPr>
          <w:p>
            <w:r/>
            <w:r>
              <w:rPr>
                <w:rFonts w:ascii="Times New Roman" w:hAnsi="Times New Roman"/>
                <w:sz w:val="15"/>
              </w:rPr>
              <w:t>Cost per iteration</w:t>
            </w:r>
          </w:p>
        </w:tc>
        <w:tc>
          <w:tcPr>
            <w:tcW w:type="dxa" w:w="3480"/>
          </w:tcPr>
          <w:p>
            <w:r/>
            <w:r>
              <w:rPr>
                <w:rFonts w:ascii="Times New Roman" w:hAnsi="Times New Roman"/>
                <w:sz w:val="15"/>
              </w:rPr>
              <w:t>44.05 / 8.11 ms</w:t>
            </w:r>
          </w:p>
        </w:tc>
      </w:tr>
      <w:tr>
        <w:tc>
          <w:tcPr>
            <w:tcW w:type="dxa" w:w="3480"/>
          </w:tcPr>
          <w:p>
            <w:r/>
            <w:r>
              <w:rPr>
                <w:rFonts w:ascii="Times New Roman" w:hAnsi="Times New Roman"/>
                <w:sz w:val="15"/>
              </w:rPr>
              <w:t>Bet abstr.</w:t>
            </w:r>
          </w:p>
        </w:tc>
        <w:tc>
          <w:tcPr>
            <w:tcW w:type="dxa" w:w="3480"/>
          </w:tcPr>
          <w:p>
            <w:r/>
            <w:r>
              <w:rPr>
                <w:rFonts w:ascii="Times New Roman" w:hAnsi="Times New Roman"/>
                <w:sz w:val="15"/>
              </w:rPr>
              <w:t>Information sets, 6 buckets</w:t>
            </w:r>
          </w:p>
        </w:tc>
        <w:tc>
          <w:tcPr>
            <w:tcW w:type="dxa" w:w="3480"/>
          </w:tcPr>
          <w:p>
            <w:r/>
            <w:r>
              <w:rPr>
                <w:rFonts w:ascii="Times New Roman" w:hAnsi="Times New Roman"/>
                <w:sz w:val="15"/>
              </w:rPr>
              <w:t>32,800–410,000</w:t>
            </w:r>
          </w:p>
        </w:tc>
      </w:tr>
      <w:tr>
        <w:tc>
          <w:tcPr>
            <w:tcW w:type="dxa" w:w="3480"/>
          </w:tcPr>
          <w:p>
            <w:r/>
            <w:r>
              <w:rPr>
                <w:rFonts w:ascii="Times New Roman" w:hAnsi="Times New Roman"/>
                <w:sz w:val="15"/>
              </w:rPr>
              <w:t>Harness</w:t>
            </w:r>
          </w:p>
        </w:tc>
        <w:tc>
          <w:tcPr>
            <w:tcW w:type="dxa" w:w="3480"/>
          </w:tcPr>
          <w:p>
            <w:r/>
            <w:r>
              <w:rPr>
                <w:rFonts w:ascii="Times New Roman" w:hAnsi="Times New Roman"/>
                <w:sz w:val="15"/>
              </w:rPr>
              <w:t>Noise cut by duplicate play</w:t>
            </w:r>
          </w:p>
        </w:tc>
        <w:tc>
          <w:tcPr>
            <w:tcW w:type="dxa" w:w="3480"/>
          </w:tcPr>
          <w:p>
            <w:r/>
            <w:r>
              <w:rPr>
                <w:rFonts w:ascii="Times New Roman" w:hAnsi="Times New Roman"/>
                <w:sz w:val="15"/>
              </w:rPr>
              <w:t>≈ 14%</w:t>
            </w:r>
          </w:p>
        </w:tc>
      </w:tr>
      <w:tr>
        <w:tc>
          <w:tcPr>
            <w:tcW w:type="dxa" w:w="3480"/>
          </w:tcPr>
          <w:p>
            <w:r/>
            <w:r>
              <w:rPr>
                <w:rFonts w:ascii="Times New Roman" w:hAnsi="Times New Roman"/>
                <w:sz w:val="15"/>
              </w:rPr>
              <w:t>Observation</w:t>
            </w:r>
          </w:p>
        </w:tc>
        <w:tc>
          <w:tcPr>
            <w:tcW w:type="dxa" w:w="3480"/>
          </w:tcPr>
          <w:p>
            <w:r/>
            <w:r>
              <w:rPr>
                <w:rFonts w:ascii="Times New Roman" w:hAnsi="Times New Roman"/>
                <w:sz w:val="15"/>
              </w:rPr>
              <w:t>Effective dimensionality of 17</w:t>
            </w:r>
          </w:p>
        </w:tc>
        <w:tc>
          <w:tcPr>
            <w:tcW w:type="dxa" w:w="3480"/>
          </w:tcPr>
          <w:p>
            <w:r/>
            <w:r>
              <w:rPr>
                <w:rFonts w:ascii="Times New Roman" w:hAnsi="Times New Roman"/>
                <w:sz w:val="15"/>
              </w:rPr>
              <w:t>6</w:t>
            </w:r>
          </w:p>
        </w:tc>
      </w:tr>
      <w:tr>
        <w:tc>
          <w:tcPr>
            <w:tcW w:type="dxa" w:w="3480"/>
          </w:tcPr>
          <w:p>
            <w:r/>
            <w:r>
              <w:rPr>
                <w:rFonts w:ascii="Times New Roman" w:hAnsi="Times New Roman"/>
                <w:sz w:val="15"/>
              </w:rPr>
              <w:t>Exploitability</w:t>
            </w:r>
          </w:p>
        </w:tc>
        <w:tc>
          <w:tcPr>
            <w:tcW w:type="dxa" w:w="3480"/>
          </w:tcPr>
          <w:p>
            <w:r/>
            <w:r>
              <w:rPr>
                <w:rFonts w:ascii="Times New Roman" w:hAnsi="Times New Roman"/>
                <w:sz w:val="15"/>
              </w:rPr>
              <w:t>Bound on converged strategy</w:t>
            </w:r>
          </w:p>
        </w:tc>
        <w:tc>
          <w:tcPr>
            <w:tcW w:type="dxa" w:w="3480"/>
          </w:tcPr>
          <w:p>
            <w:r/>
            <w:r>
              <w:rPr>
                <w:rFonts w:ascii="Times New Roman" w:hAnsi="Times New Roman"/>
                <w:sz w:val="15"/>
              </w:rPr>
              <w:t>not established</w:t>
            </w:r>
          </w:p>
        </w:tc>
      </w:tr>
    </w:tbl>
    <w:p>
      <w:pPr>
        <w:spacing w:after="120"/>
      </w:pPr>
    </w:p>
    <w:p>
      <w:pPr>
        <w:spacing w:before="140" w:after="40"/>
      </w:pPr>
      <w:r>
        <w:rPr>
          <w:rFonts w:ascii="Times New Roman" w:hAnsi="Times New Roman"/>
          <w:i/>
          <w:sz w:val="20"/>
        </w:rPr>
        <w:t>D.  Evolutionary Search, Measured</w:t>
      </w:r>
    </w:p>
    <w:p>
      <w:pPr>
        <w:spacing w:after="0"/>
        <w:jc w:val="both"/>
      </w:pPr>
      <w:r>
        <w:rPr>
          <w:rFonts w:ascii="Times New Roman" w:hAnsi="Times New Roman"/>
          <w:b w:val="0"/>
          <w:i w:val="0"/>
          <w:sz w:val="20"/>
        </w:rPr>
        <w:t>With the measurement apparatus validated, the second family of agent was trained and evaluated: a population of neural policies optimised by selection and Gaussian mutation over fifty generations, heads-up, on the rebuilt nineteen-feature observation. The training budget was set from measurement rather than convention — re-scoring the same population under different hands moves a genome by 136 BB/100 at 2,000 hands and 31 at 24,000, so 24,000 hands per genome was used.</w:t>
      </w:r>
    </w:p>
    <w:p>
      <w:pPr>
        <w:spacing w:after="0"/>
        <w:ind w:firstLine="288"/>
        <w:jc w:val="both"/>
      </w:pPr>
      <w:r>
        <w:rPr>
          <w:rFonts w:ascii="Times New Roman" w:hAnsi="Times New Roman"/>
          <w:b w:val="0"/>
          <w:i w:val="0"/>
          <w:sz w:val="20"/>
        </w:rPr>
        <w:t>The result is reported as an endpoint comparison rather than a learning curve, for reasons given below. The final genome and an untrained genome drawn from the same initial distribution were played against the identical panel at 40,000 hands, giving an uncertainty of about 14 BB/100.</w:t>
      </w:r>
    </w:p>
    <w:p>
      <w:pPr>
        <w:spacing w:before="160" w:after="40"/>
        <w:jc w:val="center"/>
      </w:pPr>
      <w:r>
        <w:drawing>
          <wp:inline xmlns:a="http://schemas.openxmlformats.org/drawingml/2006/main" xmlns:pic="http://schemas.openxmlformats.org/drawingml/2006/picture">
            <wp:extent cx="3017520" cy="2006366"/>
            <wp:docPr id="4" name="Picture 4"/>
            <wp:cNvGraphicFramePr>
              <a:graphicFrameLocks noChangeAspect="1"/>
            </wp:cNvGraphicFramePr>
            <a:graphic>
              <a:graphicData uri="http://schemas.openxmlformats.org/drawingml/2006/picture">
                <pic:pic>
                  <pic:nvPicPr>
                    <pic:cNvPr id="0" name="fig4_evolution.png"/>
                    <pic:cNvPicPr/>
                  </pic:nvPicPr>
                  <pic:blipFill>
                    <a:blip r:embed="rId12"/>
                    <a:stretch>
                      <a:fillRect/>
                    </a:stretch>
                  </pic:blipFill>
                  <pic:spPr>
                    <a:xfrm>
                      <a:off x="0" y="0"/>
                      <a:ext cx="3017520" cy="2006366"/>
                    </a:xfrm>
                    <a:prstGeom prst="rect"/>
                  </pic:spPr>
                </pic:pic>
              </a:graphicData>
            </a:graphic>
          </wp:inline>
        </w:drawing>
      </w:r>
    </w:p>
    <w:p>
      <w:pPr>
        <w:spacing w:after="160"/>
        <w:jc w:val="both"/>
      </w:pPr>
      <w:r>
        <w:rPr>
          <w:rFonts w:ascii="Times New Roman" w:hAnsi="Times New Roman"/>
          <w:b w:val="0"/>
          <w:i w:val="0"/>
          <w:sz w:val="16"/>
        </w:rPr>
        <w:t>Fig. 4.  Evolutionary search before and after fifty generations. Endpoint comparison at 40,000 hands per matchup. The evolved agent improves decisively against a random opponent and not at all against either the calling station or the solver.</w:t>
      </w:r>
    </w:p>
    <w:p>
      <w:pPr>
        <w:spacing w:before="160" w:after="60"/>
        <w:jc w:val="center"/>
      </w:pPr>
      <w:r>
        <w:rPr>
          <w:rFonts w:ascii="Times New Roman" w:hAnsi="Times New Roman"/>
          <w:sz w:val="16"/>
        </w:rPr>
        <w:t>TABLE III</w:t>
        <w:br/>
        <w:t>ENDPOINT COMPARISON, 40,000 HANDS PER MATCHUP</w:t>
      </w:r>
    </w:p>
    <w:tbl>
      <w:tblPr>
        <w:tblStyle w:val="TableGrid"/>
        <w:tblW w:type="auto" w:w="0"/>
        <w:jc w:val="center"/>
        <w:tblLook w:firstColumn="1" w:firstRow="1" w:lastColumn="0" w:lastRow="0" w:noHBand="0" w:noVBand="1" w:val="04A0"/>
      </w:tblPr>
      <w:tblGrid>
        <w:gridCol w:w="2088"/>
        <w:gridCol w:w="2088"/>
        <w:gridCol w:w="2088"/>
        <w:gridCol w:w="2088"/>
        <w:gridCol w:w="2088"/>
      </w:tblGrid>
      <w:tr>
        <w:tc>
          <w:tcPr>
            <w:tcW w:type="dxa" w:w="2088"/>
          </w:tcPr>
          <w:p>
            <w:r/>
            <w:r>
              <w:rPr>
                <w:rFonts w:ascii="Times New Roman" w:hAnsi="Times New Roman"/>
                <w:b/>
                <w:sz w:val="15"/>
              </w:rPr>
              <w:t>Opponent</w:t>
            </w:r>
          </w:p>
        </w:tc>
        <w:tc>
          <w:tcPr>
            <w:tcW w:type="dxa" w:w="2088"/>
          </w:tcPr>
          <w:p>
            <w:r/>
            <w:r>
              <w:rPr>
                <w:rFonts w:ascii="Times New Roman" w:hAnsi="Times New Roman"/>
                <w:b/>
                <w:sz w:val="15"/>
              </w:rPr>
              <w:t>Untrained</w:t>
            </w:r>
          </w:p>
        </w:tc>
        <w:tc>
          <w:tcPr>
            <w:tcW w:type="dxa" w:w="2088"/>
          </w:tcPr>
          <w:p>
            <w:r/>
            <w:r>
              <w:rPr>
                <w:rFonts w:ascii="Times New Roman" w:hAnsi="Times New Roman"/>
                <w:b/>
                <w:sz w:val="15"/>
              </w:rPr>
              <w:t>After 50 gen.</w:t>
            </w:r>
          </w:p>
        </w:tc>
        <w:tc>
          <w:tcPr>
            <w:tcW w:type="dxa" w:w="2088"/>
          </w:tcPr>
          <w:p>
            <w:r/>
            <w:r>
              <w:rPr>
                <w:rFonts w:ascii="Times New Roman" w:hAnsi="Times New Roman"/>
                <w:b/>
                <w:sz w:val="15"/>
              </w:rPr>
              <w:t>Difference</w:t>
            </w:r>
          </w:p>
        </w:tc>
        <w:tc>
          <w:tcPr>
            <w:tcW w:type="dxa" w:w="2088"/>
          </w:tcPr>
          <w:p>
            <w:r/>
            <w:r>
              <w:rPr>
                <w:rFonts w:ascii="Times New Roman" w:hAnsi="Times New Roman"/>
                <w:b/>
                <w:sz w:val="15"/>
              </w:rPr>
              <w:t>Verdict</w:t>
            </w:r>
          </w:p>
        </w:tc>
      </w:tr>
      <w:tr>
        <w:tc>
          <w:tcPr>
            <w:tcW w:type="dxa" w:w="2088"/>
          </w:tcPr>
          <w:p>
            <w:r/>
            <w:r>
              <w:rPr>
                <w:rFonts w:ascii="Times New Roman" w:hAnsi="Times New Roman"/>
                <w:sz w:val="15"/>
              </w:rPr>
              <w:t>random</w:t>
            </w:r>
          </w:p>
        </w:tc>
        <w:tc>
          <w:tcPr>
            <w:tcW w:type="dxa" w:w="2088"/>
          </w:tcPr>
          <w:p>
            <w:r/>
            <w:r>
              <w:rPr>
                <w:rFonts w:ascii="Times New Roman" w:hAnsi="Times New Roman"/>
                <w:sz w:val="15"/>
              </w:rPr>
              <w:t>−13.4 ± 14</w:t>
            </w:r>
          </w:p>
        </w:tc>
        <w:tc>
          <w:tcPr>
            <w:tcW w:type="dxa" w:w="2088"/>
          </w:tcPr>
          <w:p>
            <w:r/>
            <w:r>
              <w:rPr>
                <w:rFonts w:ascii="Times New Roman" w:hAnsi="Times New Roman"/>
                <w:sz w:val="15"/>
              </w:rPr>
              <w:t>+192.7 ± 15</w:t>
            </w:r>
          </w:p>
        </w:tc>
        <w:tc>
          <w:tcPr>
            <w:tcW w:type="dxa" w:w="2088"/>
          </w:tcPr>
          <w:p>
            <w:r/>
            <w:r>
              <w:rPr>
                <w:rFonts w:ascii="Times New Roman" w:hAnsi="Times New Roman"/>
                <w:sz w:val="15"/>
              </w:rPr>
              <w:t>+206.1 ± 39</w:t>
            </w:r>
          </w:p>
        </w:tc>
        <w:tc>
          <w:tcPr>
            <w:tcW w:type="dxa" w:w="2088"/>
          </w:tcPr>
          <w:p>
            <w:r/>
            <w:r>
              <w:rPr>
                <w:rFonts w:ascii="Times New Roman" w:hAnsi="Times New Roman"/>
                <w:sz w:val="15"/>
              </w:rPr>
              <w:t>improved</w:t>
            </w:r>
          </w:p>
        </w:tc>
      </w:tr>
      <w:tr>
        <w:tc>
          <w:tcPr>
            <w:tcW w:type="dxa" w:w="2088"/>
          </w:tcPr>
          <w:p>
            <w:r/>
            <w:r>
              <w:rPr>
                <w:rFonts w:ascii="Times New Roman" w:hAnsi="Times New Roman"/>
                <w:sz w:val="15"/>
              </w:rPr>
              <w:t>always-call</w:t>
            </w:r>
          </w:p>
        </w:tc>
        <w:tc>
          <w:tcPr>
            <w:tcW w:type="dxa" w:w="2088"/>
          </w:tcPr>
          <w:p>
            <w:r/>
            <w:r>
              <w:rPr>
                <w:rFonts w:ascii="Times New Roman" w:hAnsi="Times New Roman"/>
                <w:sz w:val="15"/>
              </w:rPr>
              <w:t>−8.1 ± 14</w:t>
            </w:r>
          </w:p>
        </w:tc>
        <w:tc>
          <w:tcPr>
            <w:tcW w:type="dxa" w:w="2088"/>
          </w:tcPr>
          <w:p>
            <w:r/>
            <w:r>
              <w:rPr>
                <w:rFonts w:ascii="Times New Roman" w:hAnsi="Times New Roman"/>
                <w:sz w:val="15"/>
              </w:rPr>
              <w:t>+0.5 ± 4</w:t>
            </w:r>
          </w:p>
        </w:tc>
        <w:tc>
          <w:tcPr>
            <w:tcW w:type="dxa" w:w="2088"/>
          </w:tcPr>
          <w:p>
            <w:r/>
            <w:r>
              <w:rPr>
                <w:rFonts w:ascii="Times New Roman" w:hAnsi="Times New Roman"/>
                <w:sz w:val="15"/>
              </w:rPr>
              <w:t>+8.6 ± 28</w:t>
            </w:r>
          </w:p>
        </w:tc>
        <w:tc>
          <w:tcPr>
            <w:tcW w:type="dxa" w:w="2088"/>
          </w:tcPr>
          <w:p>
            <w:r/>
            <w:r>
              <w:rPr>
                <w:rFonts w:ascii="Times New Roman" w:hAnsi="Times New Roman"/>
                <w:sz w:val="15"/>
              </w:rPr>
              <w:t>no change</w:t>
            </w:r>
          </w:p>
        </w:tc>
      </w:tr>
      <w:tr>
        <w:tc>
          <w:tcPr>
            <w:tcW w:type="dxa" w:w="2088"/>
          </w:tcPr>
          <w:p>
            <w:r/>
            <w:r>
              <w:rPr>
                <w:rFonts w:ascii="Times New Roman" w:hAnsi="Times New Roman"/>
                <w:sz w:val="15"/>
              </w:rPr>
              <w:t>CFR agent</w:t>
            </w:r>
          </w:p>
        </w:tc>
        <w:tc>
          <w:tcPr>
            <w:tcW w:type="dxa" w:w="2088"/>
          </w:tcPr>
          <w:p>
            <w:r/>
            <w:r>
              <w:rPr>
                <w:rFonts w:ascii="Times New Roman" w:hAnsi="Times New Roman"/>
                <w:sz w:val="15"/>
              </w:rPr>
              <w:t>−403.9 ± 13</w:t>
            </w:r>
          </w:p>
        </w:tc>
        <w:tc>
          <w:tcPr>
            <w:tcW w:type="dxa" w:w="2088"/>
          </w:tcPr>
          <w:p>
            <w:r/>
            <w:r>
              <w:rPr>
                <w:rFonts w:ascii="Times New Roman" w:hAnsi="Times New Roman"/>
                <w:sz w:val="15"/>
              </w:rPr>
              <w:t>−370.1 ± 14</w:t>
            </w:r>
          </w:p>
        </w:tc>
        <w:tc>
          <w:tcPr>
            <w:tcW w:type="dxa" w:w="2088"/>
          </w:tcPr>
          <w:p>
            <w:r/>
            <w:r>
              <w:rPr>
                <w:rFonts w:ascii="Times New Roman" w:hAnsi="Times New Roman"/>
                <w:sz w:val="15"/>
              </w:rPr>
              <w:t>+33.8 ± 37</w:t>
            </w:r>
          </w:p>
        </w:tc>
        <w:tc>
          <w:tcPr>
            <w:tcW w:type="dxa" w:w="2088"/>
          </w:tcPr>
          <w:p>
            <w:r/>
            <w:r>
              <w:rPr>
                <w:rFonts w:ascii="Times New Roman" w:hAnsi="Times New Roman"/>
                <w:sz w:val="15"/>
              </w:rPr>
              <w:t>no change</w:t>
            </w:r>
          </w:p>
        </w:tc>
      </w:tr>
    </w:tbl>
    <w:p>
      <w:pPr>
        <w:spacing w:after="120"/>
      </w:pPr>
    </w:p>
    <w:p>
      <w:pPr>
        <w:spacing w:after="0"/>
        <w:jc w:val="both"/>
      </w:pPr>
      <w:r>
        <w:rPr>
          <w:rFonts w:ascii="Times New Roman" w:hAnsi="Times New Roman"/>
          <w:b w:val="0"/>
          <w:i w:val="0"/>
          <w:sz w:val="20"/>
        </w:rPr>
        <w:t>Evolutionary search learned to exploit randomness rather than to play poker. It punishes an opponent that folds and raises at random by 206 BB/100, a difference of more than five standard errors. It gains nothing against a station that never folds, which can only be beaten by betting for value. And against the solver-derived agent it remains beaten by 370 BB/100 after fifty generations, having improved by nothing measurable. What it learned did not transfer, which is a more specific finding than the prediction that the method would simply plateau.</w:t>
      </w:r>
    </w:p>
    <w:p>
      <w:pPr>
        <w:spacing w:after="0"/>
        <w:ind w:firstLine="288"/>
        <w:jc w:val="both"/>
      </w:pPr>
      <w:r>
        <w:rPr>
          <w:rFonts w:ascii="Times New Roman" w:hAnsi="Times New Roman"/>
          <w:b w:val="0"/>
          <w:i w:val="0"/>
          <w:sz w:val="20"/>
        </w:rPr>
        <w:t>Only the independent panel makes this visible. Self-play fitness sat near zero throughout, as the zero-sum property of poker requires, and reveals nothing about whether anything was learned — which is precisely why the earlier pipeline could improve against itself for eighty-nine runs while getting worse at the game.</w:t>
      </w:r>
    </w:p>
    <w:p>
      <w:pPr>
        <w:spacing w:before="220" w:after="80"/>
        <w:jc w:val="center"/>
      </w:pPr>
      <w:r>
        <w:rPr>
          <w:rFonts w:ascii="Times New Roman" w:hAnsi="Times New Roman"/>
          <w:sz w:val="20"/>
        </w:rPr>
        <w:t>VII.  DISCUSSION</w:t>
      </w:r>
    </w:p>
    <w:p>
      <w:pPr>
        <w:spacing w:after="0"/>
        <w:jc w:val="both"/>
      </w:pPr>
      <w:r>
        <w:rPr>
          <w:rFonts w:ascii="Times New Roman" w:hAnsi="Times New Roman"/>
          <w:b w:val="0"/>
          <w:i w:val="0"/>
          <w:sz w:val="20"/>
        </w:rPr>
        <w:t>Several results warrant comment beyond their numerical value. The ordering of update rules in Fig. 1 contradicts published comparisons, and is reported rather than suppressed; the most plausible explanation is the interaction between those rules and external sampling rather than an implementation defect, since all four converge correctly.</w:t>
      </w:r>
    </w:p>
    <w:p>
      <w:pPr>
        <w:spacing w:after="0"/>
        <w:ind w:firstLine="288"/>
        <w:jc w:val="both"/>
      </w:pPr>
      <w:r>
        <w:rPr>
          <w:rFonts w:ascii="Times New Roman" w:hAnsi="Times New Roman"/>
          <w:b w:val="0"/>
          <w:i w:val="0"/>
          <w:sz w:val="20"/>
        </w:rPr>
        <w:t>Local Best Response failed to establish a bound on a well-trained strategy despite four defects being corrected and three successive valuation models being implemented. The honest interpretation is that a greedy one-step adversary genuinely cannot beat a converged strategy within this abstraction — a legitimate if weak result, given that the guarantee is one-sided, rather than an outstanding defect. It is reported as such because a measurement that quietly fails is more damaging than one that fails visibly.</w:t>
      </w:r>
    </w:p>
    <w:p>
      <w:pPr>
        <w:spacing w:after="0"/>
        <w:ind w:firstLine="288"/>
        <w:jc w:val="both"/>
      </w:pPr>
      <w:r>
        <w:rPr>
          <w:rFonts w:ascii="Times New Roman" w:hAnsi="Times New Roman"/>
          <w:b w:val="0"/>
          <w:i w:val="0"/>
          <w:sz w:val="20"/>
        </w:rPr>
        <w:t>Three results during this phase looked like findings and were not, and each was caught by a check already built into the framework. A per-generation panel curve measured over 3,000 hands appeared to rise from +111 to +214 BB/100; across eleven readings it scattered with a standard deviation of 56 against a measurement error of 57, and was indistinguishable from a constant. A benchmark row reported the evolved agent beating the solver by 60.8 BB/100, alongside a 74.3% lookup miss rate — the counter that exists so a benchmark which has quietly become a second random opponent shows up as a number. And the explanation first offered for that miss rate, that the solver covers only half its abstraction, was itself wrong: every lookup had found its key, and the harness was discarding valid entries because the solver stores one probability per legal action at a node rather than one per abstract action. A measurement that is too coarse or subtly wrong does not return no result; it returns a plausible one.</w:t>
      </w:r>
    </w:p>
    <w:p>
      <w:pPr>
        <w:spacing w:after="0"/>
        <w:ind w:firstLine="288"/>
        <w:jc w:val="both"/>
      </w:pPr>
      <w:r>
        <w:rPr>
          <w:rFonts w:ascii="Times New Roman" w:hAnsi="Times New Roman"/>
          <w:b w:val="0"/>
          <w:i w:val="0"/>
          <w:sz w:val="20"/>
        </w:rPr>
        <w:t>Duplicate play reduced the standard error by approximately 14%, considerably less than anticipated. Investigation showed that per-hand outcomes swing by an entire stack depending on whether an all-in occurred, and that this variation is driven by the actions taken rather than the cards dealt, so sharing cards cannot cancel it. The technique remains in use as it is free and strictly beneficial, but hand count remains the dominant lever.</w:t>
      </w:r>
    </w:p>
    <w:p>
      <w:pPr>
        <w:spacing w:before="220" w:after="80"/>
        <w:jc w:val="center"/>
      </w:pPr>
      <w:r>
        <w:rPr>
          <w:rFonts w:ascii="Times New Roman" w:hAnsi="Times New Roman"/>
          <w:sz w:val="20"/>
        </w:rPr>
        <w:t>VIII.  COMPARATIVE ANALYSIS</w:t>
      </w:r>
    </w:p>
    <w:p>
      <w:pPr>
        <w:spacing w:before="160" w:after="60"/>
        <w:jc w:val="center"/>
      </w:pPr>
      <w:r>
        <w:rPr>
          <w:rFonts w:ascii="Times New Roman" w:hAnsi="Times New Roman"/>
          <w:sz w:val="16"/>
        </w:rPr>
        <w:t>TABLE IV</w:t>
        <w:br/>
        <w:t>NASHFORGE COMPARED WITH CONVENTIONAL APPROACHES</w:t>
      </w:r>
    </w:p>
    <w:tbl>
      <w:tblPr>
        <w:tblStyle w:val="TableGrid"/>
        <w:tblW w:type="auto" w:w="0"/>
        <w:jc w:val="center"/>
        <w:tblLook w:firstColumn="1" w:firstRow="1" w:lastColumn="0" w:lastRow="0" w:noHBand="0" w:noVBand="1" w:val="04A0"/>
      </w:tblPr>
      <w:tblGrid>
        <w:gridCol w:w="2610"/>
        <w:gridCol w:w="2610"/>
        <w:gridCol w:w="2610"/>
        <w:gridCol w:w="2610"/>
      </w:tblGrid>
      <w:tr>
        <w:tc>
          <w:tcPr>
            <w:tcW w:type="dxa" w:w="2610"/>
          </w:tcPr>
          <w:p>
            <w:r/>
            <w:r>
              <w:rPr>
                <w:rFonts w:ascii="Times New Roman" w:hAnsi="Times New Roman"/>
                <w:b/>
                <w:sz w:val="15"/>
              </w:rPr>
              <w:t>Capability</w:t>
            </w:r>
          </w:p>
        </w:tc>
        <w:tc>
          <w:tcPr>
            <w:tcW w:type="dxa" w:w="2610"/>
          </w:tcPr>
          <w:p>
            <w:r/>
            <w:r>
              <w:rPr>
                <w:rFonts w:ascii="Times New Roman" w:hAnsi="Times New Roman"/>
                <w:b/>
                <w:sz w:val="15"/>
              </w:rPr>
              <w:t>Heuristic</w:t>
            </w:r>
          </w:p>
        </w:tc>
        <w:tc>
          <w:tcPr>
            <w:tcW w:type="dxa" w:w="2610"/>
          </w:tcPr>
          <w:p>
            <w:r/>
            <w:r>
              <w:rPr>
                <w:rFonts w:ascii="Times New Roman" w:hAnsi="Times New Roman"/>
                <w:b/>
                <w:sz w:val="15"/>
              </w:rPr>
              <w:t>Standard RL</w:t>
            </w:r>
          </w:p>
        </w:tc>
        <w:tc>
          <w:tcPr>
            <w:tcW w:type="dxa" w:w="2610"/>
          </w:tcPr>
          <w:p>
            <w:r/>
            <w:r>
              <w:rPr>
                <w:rFonts w:ascii="Times New Roman" w:hAnsi="Times New Roman"/>
                <w:b/>
                <w:sz w:val="15"/>
              </w:rPr>
              <w:t>NashForge</w:t>
            </w:r>
          </w:p>
        </w:tc>
      </w:tr>
      <w:tr>
        <w:tc>
          <w:tcPr>
            <w:tcW w:type="dxa" w:w="2610"/>
          </w:tcPr>
          <w:p>
            <w:r/>
            <w:r>
              <w:rPr>
                <w:rFonts w:ascii="Times New Roman" w:hAnsi="Times New Roman"/>
                <w:sz w:val="15"/>
              </w:rPr>
              <w:t>Strategy source</w:t>
            </w:r>
          </w:p>
        </w:tc>
        <w:tc>
          <w:tcPr>
            <w:tcW w:type="dxa" w:w="2610"/>
          </w:tcPr>
          <w:p>
            <w:r/>
            <w:r>
              <w:rPr>
                <w:rFonts w:ascii="Times New Roman" w:hAnsi="Times New Roman"/>
                <w:sz w:val="15"/>
              </w:rPr>
              <w:t>Rules</w:t>
            </w:r>
          </w:p>
        </w:tc>
        <w:tc>
          <w:tcPr>
            <w:tcW w:type="dxa" w:w="2610"/>
          </w:tcPr>
          <w:p>
            <w:r/>
            <w:r>
              <w:rPr>
                <w:rFonts w:ascii="Times New Roman" w:hAnsi="Times New Roman"/>
                <w:sz w:val="15"/>
              </w:rPr>
              <w:t>Learned</w:t>
            </w:r>
          </w:p>
        </w:tc>
        <w:tc>
          <w:tcPr>
            <w:tcW w:type="dxa" w:w="2610"/>
          </w:tcPr>
          <w:p>
            <w:r/>
            <w:r>
              <w:rPr>
                <w:rFonts w:ascii="Times New Roman" w:hAnsi="Times New Roman"/>
                <w:sz w:val="15"/>
              </w:rPr>
              <w:t>Three compared</w:t>
            </w:r>
          </w:p>
        </w:tc>
      </w:tr>
      <w:tr>
        <w:tc>
          <w:tcPr>
            <w:tcW w:type="dxa" w:w="2610"/>
          </w:tcPr>
          <w:p>
            <w:r/>
            <w:r>
              <w:rPr>
                <w:rFonts w:ascii="Times New Roman" w:hAnsi="Times New Roman"/>
                <w:sz w:val="15"/>
              </w:rPr>
              <w:t>Theoretical guarantee</w:t>
            </w:r>
          </w:p>
        </w:tc>
        <w:tc>
          <w:tcPr>
            <w:tcW w:type="dxa" w:w="2610"/>
          </w:tcPr>
          <w:p>
            <w:r/>
            <w:r>
              <w:rPr>
                <w:rFonts w:ascii="Times New Roman" w:hAnsi="Times New Roman"/>
                <w:sz w:val="15"/>
              </w:rPr>
              <w:t>None</w:t>
            </w:r>
          </w:p>
        </w:tc>
        <w:tc>
          <w:tcPr>
            <w:tcW w:type="dxa" w:w="2610"/>
          </w:tcPr>
          <w:p>
            <w:r/>
            <w:r>
              <w:rPr>
                <w:rFonts w:ascii="Times New Roman" w:hAnsi="Times New Roman"/>
                <w:sz w:val="15"/>
              </w:rPr>
              <w:t>None</w:t>
            </w:r>
          </w:p>
        </w:tc>
        <w:tc>
          <w:tcPr>
            <w:tcW w:type="dxa" w:w="2610"/>
          </w:tcPr>
          <w:p>
            <w:r/>
            <w:r>
              <w:rPr>
                <w:rFonts w:ascii="Times New Roman" w:hAnsi="Times New Roman"/>
                <w:sz w:val="15"/>
              </w:rPr>
              <w:t>Equilibrium</w:t>
            </w:r>
          </w:p>
        </w:tc>
      </w:tr>
      <w:tr>
        <w:tc>
          <w:tcPr>
            <w:tcW w:type="dxa" w:w="2610"/>
          </w:tcPr>
          <w:p>
            <w:r/>
            <w:r>
              <w:rPr>
                <w:rFonts w:ascii="Times New Roman" w:hAnsi="Times New Roman"/>
                <w:sz w:val="15"/>
              </w:rPr>
              <w:t>Engine correctness</w:t>
            </w:r>
          </w:p>
        </w:tc>
        <w:tc>
          <w:tcPr>
            <w:tcW w:type="dxa" w:w="2610"/>
          </w:tcPr>
          <w:p>
            <w:r/>
            <w:r>
              <w:rPr>
                <w:rFonts w:ascii="Times New Roman" w:hAnsi="Times New Roman"/>
                <w:sz w:val="15"/>
              </w:rPr>
              <w:t>Assumed</w:t>
            </w:r>
          </w:p>
        </w:tc>
        <w:tc>
          <w:tcPr>
            <w:tcW w:type="dxa" w:w="2610"/>
          </w:tcPr>
          <w:p>
            <w:r/>
            <w:r>
              <w:rPr>
                <w:rFonts w:ascii="Times New Roman" w:hAnsi="Times New Roman"/>
                <w:sz w:val="15"/>
              </w:rPr>
              <w:t>Assumed</w:t>
            </w:r>
          </w:p>
        </w:tc>
        <w:tc>
          <w:tcPr>
            <w:tcW w:type="dxa" w:w="2610"/>
          </w:tcPr>
          <w:p>
            <w:r/>
            <w:r>
              <w:rPr>
                <w:rFonts w:ascii="Times New Roman" w:hAnsi="Times New Roman"/>
                <w:sz w:val="15"/>
              </w:rPr>
              <w:t>Verified</w:t>
            </w:r>
          </w:p>
        </w:tc>
      </w:tr>
      <w:tr>
        <w:tc>
          <w:tcPr>
            <w:tcW w:type="dxa" w:w="2610"/>
          </w:tcPr>
          <w:p>
            <w:r/>
            <w:r>
              <w:rPr>
                <w:rFonts w:ascii="Times New Roman" w:hAnsi="Times New Roman"/>
                <w:sz w:val="15"/>
              </w:rPr>
              <w:t>Validated vs known answers</w:t>
            </w:r>
          </w:p>
        </w:tc>
        <w:tc>
          <w:tcPr>
            <w:tcW w:type="dxa" w:w="2610"/>
          </w:tcPr>
          <w:p>
            <w:r/>
            <w:r>
              <w:rPr>
                <w:rFonts w:ascii="Times New Roman" w:hAnsi="Times New Roman"/>
                <w:sz w:val="15"/>
              </w:rPr>
              <w:t>None</w:t>
            </w:r>
          </w:p>
        </w:tc>
        <w:tc>
          <w:tcPr>
            <w:tcW w:type="dxa" w:w="2610"/>
          </w:tcPr>
          <w:p>
            <w:r/>
            <w:r>
              <w:rPr>
                <w:rFonts w:ascii="Times New Roman" w:hAnsi="Times New Roman"/>
                <w:sz w:val="15"/>
              </w:rPr>
              <w:t>Rare</w:t>
            </w:r>
          </w:p>
        </w:tc>
        <w:tc>
          <w:tcPr>
            <w:tcW w:type="dxa" w:w="2610"/>
          </w:tcPr>
          <w:p>
            <w:r/>
            <w:r>
              <w:rPr>
                <w:rFonts w:ascii="Times New Roman" w:hAnsi="Times New Roman"/>
                <w:sz w:val="15"/>
              </w:rPr>
              <w:t>Kuhn, Leduc</w:t>
            </w:r>
          </w:p>
        </w:tc>
      </w:tr>
      <w:tr>
        <w:tc>
          <w:tcPr>
            <w:tcW w:type="dxa" w:w="2610"/>
          </w:tcPr>
          <w:p>
            <w:r/>
            <w:r>
              <w:rPr>
                <w:rFonts w:ascii="Times New Roman" w:hAnsi="Times New Roman"/>
                <w:sz w:val="15"/>
              </w:rPr>
              <w:t>Exploitability measured</w:t>
            </w:r>
          </w:p>
        </w:tc>
        <w:tc>
          <w:tcPr>
            <w:tcW w:type="dxa" w:w="2610"/>
          </w:tcPr>
          <w:p>
            <w:r/>
            <w:r>
              <w:rPr>
                <w:rFonts w:ascii="Times New Roman" w:hAnsi="Times New Roman"/>
                <w:sz w:val="15"/>
              </w:rPr>
              <w:t>No</w:t>
            </w:r>
          </w:p>
        </w:tc>
        <w:tc>
          <w:tcPr>
            <w:tcW w:type="dxa" w:w="2610"/>
          </w:tcPr>
          <w:p>
            <w:r/>
            <w:r>
              <w:rPr>
                <w:rFonts w:ascii="Times New Roman" w:hAnsi="Times New Roman"/>
                <w:sz w:val="15"/>
              </w:rPr>
              <w:t>No</w:t>
            </w:r>
          </w:p>
        </w:tc>
        <w:tc>
          <w:tcPr>
            <w:tcW w:type="dxa" w:w="2610"/>
          </w:tcPr>
          <w:p>
            <w:r/>
            <w:r>
              <w:rPr>
                <w:rFonts w:ascii="Times New Roman" w:hAnsi="Times New Roman"/>
                <w:sz w:val="15"/>
              </w:rPr>
              <w:t>Exact + bound</w:t>
            </w:r>
          </w:p>
        </w:tc>
      </w:tr>
      <w:tr>
        <w:tc>
          <w:tcPr>
            <w:tcW w:type="dxa" w:w="2610"/>
          </w:tcPr>
          <w:p>
            <w:r/>
            <w:r>
              <w:rPr>
                <w:rFonts w:ascii="Times New Roman" w:hAnsi="Times New Roman"/>
                <w:sz w:val="15"/>
              </w:rPr>
              <w:t>Card abstraction</w:t>
            </w:r>
          </w:p>
        </w:tc>
        <w:tc>
          <w:tcPr>
            <w:tcW w:type="dxa" w:w="2610"/>
          </w:tcPr>
          <w:p>
            <w:r/>
            <w:r>
              <w:rPr>
                <w:rFonts w:ascii="Times New Roman" w:hAnsi="Times New Roman"/>
                <w:sz w:val="15"/>
              </w:rPr>
              <w:t>Fixed</w:t>
            </w:r>
          </w:p>
        </w:tc>
        <w:tc>
          <w:tcPr>
            <w:tcW w:type="dxa" w:w="2610"/>
          </w:tcPr>
          <w:p>
            <w:r/>
            <w:r>
              <w:rPr>
                <w:rFonts w:ascii="Times New Roman" w:hAnsi="Times New Roman"/>
                <w:sz w:val="15"/>
              </w:rPr>
              <w:t>Implicit</w:t>
            </w:r>
          </w:p>
        </w:tc>
        <w:tc>
          <w:tcPr>
            <w:tcW w:type="dxa" w:w="2610"/>
          </w:tcPr>
          <w:p>
            <w:r/>
            <w:r>
              <w:rPr>
                <w:rFonts w:ascii="Times New Roman" w:hAnsi="Times New Roman"/>
                <w:sz w:val="15"/>
              </w:rPr>
              <w:t>Two, compared</w:t>
            </w:r>
          </w:p>
        </w:tc>
      </w:tr>
      <w:tr>
        <w:tc>
          <w:tcPr>
            <w:tcW w:type="dxa" w:w="2610"/>
          </w:tcPr>
          <w:p>
            <w:r/>
            <w:r>
              <w:rPr>
                <w:rFonts w:ascii="Times New Roman" w:hAnsi="Times New Roman"/>
                <w:sz w:val="15"/>
              </w:rPr>
              <w:t>Benchmark independence</w:t>
            </w:r>
          </w:p>
        </w:tc>
        <w:tc>
          <w:tcPr>
            <w:tcW w:type="dxa" w:w="2610"/>
          </w:tcPr>
          <w:p>
            <w:r/>
            <w:r>
              <w:rPr>
                <w:rFonts w:ascii="Times New Roman" w:hAnsi="Times New Roman"/>
                <w:sz w:val="15"/>
              </w:rPr>
              <w:t>Self-play</w:t>
            </w:r>
          </w:p>
        </w:tc>
        <w:tc>
          <w:tcPr>
            <w:tcW w:type="dxa" w:w="2610"/>
          </w:tcPr>
          <w:p>
            <w:r/>
            <w:r>
              <w:rPr>
                <w:rFonts w:ascii="Times New Roman" w:hAnsi="Times New Roman"/>
                <w:sz w:val="15"/>
              </w:rPr>
              <w:t>Self-play</w:t>
            </w:r>
          </w:p>
        </w:tc>
        <w:tc>
          <w:tcPr>
            <w:tcW w:type="dxa" w:w="2610"/>
          </w:tcPr>
          <w:p>
            <w:r/>
            <w:r>
              <w:rPr>
                <w:rFonts w:ascii="Times New Roman" w:hAnsi="Times New Roman"/>
                <w:sz w:val="15"/>
              </w:rPr>
              <w:t>Unrelated panel</w:t>
            </w:r>
          </w:p>
        </w:tc>
      </w:tr>
      <w:tr>
        <w:tc>
          <w:tcPr>
            <w:tcW w:type="dxa" w:w="2610"/>
          </w:tcPr>
          <w:p>
            <w:r/>
            <w:r>
              <w:rPr>
                <w:rFonts w:ascii="Times New Roman" w:hAnsi="Times New Roman"/>
                <w:sz w:val="15"/>
              </w:rPr>
              <w:t>Variance reduction</w:t>
            </w:r>
          </w:p>
        </w:tc>
        <w:tc>
          <w:tcPr>
            <w:tcW w:type="dxa" w:w="2610"/>
          </w:tcPr>
          <w:p>
            <w:r/>
            <w:r>
              <w:rPr>
                <w:rFonts w:ascii="Times New Roman" w:hAnsi="Times New Roman"/>
                <w:sz w:val="15"/>
              </w:rPr>
              <w:t>None</w:t>
            </w:r>
          </w:p>
        </w:tc>
        <w:tc>
          <w:tcPr>
            <w:tcW w:type="dxa" w:w="2610"/>
          </w:tcPr>
          <w:p>
            <w:r/>
            <w:r>
              <w:rPr>
                <w:rFonts w:ascii="Times New Roman" w:hAnsi="Times New Roman"/>
                <w:sz w:val="15"/>
              </w:rPr>
              <w:t>More hands</w:t>
            </w:r>
          </w:p>
        </w:tc>
        <w:tc>
          <w:tcPr>
            <w:tcW w:type="dxa" w:w="2610"/>
          </w:tcPr>
          <w:p>
            <w:r/>
            <w:r>
              <w:rPr>
                <w:rFonts w:ascii="Times New Roman" w:hAnsi="Times New Roman"/>
                <w:sz w:val="15"/>
              </w:rPr>
              <w:t>Duplicate play</w:t>
            </w:r>
          </w:p>
        </w:tc>
      </w:tr>
      <w:tr>
        <w:tc>
          <w:tcPr>
            <w:tcW w:type="dxa" w:w="2610"/>
          </w:tcPr>
          <w:p>
            <w:r/>
            <w:r>
              <w:rPr>
                <w:rFonts w:ascii="Times New Roman" w:hAnsi="Times New Roman"/>
                <w:sz w:val="15"/>
              </w:rPr>
              <w:t>Confidence intervals</w:t>
            </w:r>
          </w:p>
        </w:tc>
        <w:tc>
          <w:tcPr>
            <w:tcW w:type="dxa" w:w="2610"/>
          </w:tcPr>
          <w:p>
            <w:r/>
            <w:r>
              <w:rPr>
                <w:rFonts w:ascii="Times New Roman" w:hAnsi="Times New Roman"/>
                <w:sz w:val="15"/>
              </w:rPr>
              <w:t>No</w:t>
            </w:r>
          </w:p>
        </w:tc>
        <w:tc>
          <w:tcPr>
            <w:tcW w:type="dxa" w:w="2610"/>
          </w:tcPr>
          <w:p>
            <w:r/>
            <w:r>
              <w:rPr>
                <w:rFonts w:ascii="Times New Roman" w:hAnsi="Times New Roman"/>
                <w:sz w:val="15"/>
              </w:rPr>
              <w:t>Rare</w:t>
            </w:r>
          </w:p>
        </w:tc>
        <w:tc>
          <w:tcPr>
            <w:tcW w:type="dxa" w:w="2610"/>
          </w:tcPr>
          <w:p>
            <w:r/>
            <w:r>
              <w:rPr>
                <w:rFonts w:ascii="Times New Roman" w:hAnsi="Times New Roman"/>
                <w:sz w:val="15"/>
              </w:rPr>
              <w:t>Every figure</w:t>
            </w:r>
          </w:p>
        </w:tc>
      </w:tr>
      <w:tr>
        <w:tc>
          <w:tcPr>
            <w:tcW w:type="dxa" w:w="2610"/>
          </w:tcPr>
          <w:p>
            <w:r/>
            <w:r>
              <w:rPr>
                <w:rFonts w:ascii="Times New Roman" w:hAnsi="Times New Roman"/>
                <w:sz w:val="15"/>
              </w:rPr>
              <w:t>Observation audited</w:t>
            </w:r>
          </w:p>
        </w:tc>
        <w:tc>
          <w:tcPr>
            <w:tcW w:type="dxa" w:w="2610"/>
          </w:tcPr>
          <w:p>
            <w:r/>
            <w:r>
              <w:rPr>
                <w:rFonts w:ascii="Times New Roman" w:hAnsi="Times New Roman"/>
                <w:sz w:val="15"/>
              </w:rPr>
              <w:t>No</w:t>
            </w:r>
          </w:p>
        </w:tc>
        <w:tc>
          <w:tcPr>
            <w:tcW w:type="dxa" w:w="2610"/>
          </w:tcPr>
          <w:p>
            <w:r/>
            <w:r>
              <w:rPr>
                <w:rFonts w:ascii="Times New Roman" w:hAnsi="Times New Roman"/>
                <w:sz w:val="15"/>
              </w:rPr>
              <w:t>No</w:t>
            </w:r>
          </w:p>
        </w:tc>
        <w:tc>
          <w:tcPr>
            <w:tcW w:type="dxa" w:w="2610"/>
          </w:tcPr>
          <w:p>
            <w:r/>
            <w:r>
              <w:rPr>
                <w:rFonts w:ascii="Times New Roman" w:hAnsi="Times New Roman"/>
                <w:sz w:val="15"/>
              </w:rPr>
              <w:t>Yes</w:t>
            </w:r>
          </w:p>
        </w:tc>
      </w:tr>
    </w:tbl>
    <w:p>
      <w:pPr>
        <w:spacing w:after="120"/>
      </w:pPr>
    </w:p>
    <w:p>
      <w:pPr>
        <w:spacing w:before="220" w:after="80"/>
        <w:jc w:val="center"/>
      </w:pPr>
      <w:r>
        <w:rPr>
          <w:rFonts w:ascii="Times New Roman" w:hAnsi="Times New Roman"/>
          <w:sz w:val="20"/>
        </w:rPr>
        <w:t>IX.  CONCLUSION AND FUTURE WORK</w:t>
      </w:r>
    </w:p>
    <w:p>
      <w:pPr>
        <w:spacing w:after="0"/>
        <w:jc w:val="both"/>
      </w:pPr>
      <w:r>
        <w:rPr>
          <w:rFonts w:ascii="Times New Roman" w:hAnsi="Times New Roman"/>
          <w:b w:val="0"/>
          <w:i w:val="0"/>
          <w:sz w:val="20"/>
        </w:rPr>
        <w:t>This paper presented NashForge, a framework for comparatively evaluating game-theoretic, evolutionary and reinforcement learning agents in imperfect-information games under identical instrumentation. The framework's engine and solver are validated against independently known answers, its abstractions are measured rather than assumed, and every reported figure carries an explicit confidence interval.</w:t>
      </w:r>
    </w:p>
    <w:p>
      <w:pPr>
        <w:spacing w:after="0"/>
        <w:ind w:firstLine="288"/>
        <w:jc w:val="both"/>
      </w:pPr>
      <w:r>
        <w:rPr>
          <w:rFonts w:ascii="Times New Roman" w:hAnsi="Times New Roman"/>
          <w:b w:val="0"/>
          <w:i w:val="0"/>
          <w:sz w:val="20"/>
        </w:rPr>
        <w:t>The principal experimental result is that the value of a finer card abstraction depends on the training budget: made-hand bucketing wins below approximately 640 seconds and equity bucketing wins above it, at 7.8 standard errors and on one fifth of the opponent's iterations. The most instructive result, however, is negative — the observation audit demonstrated that the feature representation used by the learning agents discards most of the information distinguishing a strong hand from a weak one, imposing a ceiling that further training cannot raise. Identifying such a limit before investing in training is precisely what a measurement-first framework is intended to deliver.</w:t>
      </w:r>
    </w:p>
    <w:p>
      <w:pPr>
        <w:spacing w:after="0"/>
        <w:ind w:firstLine="288"/>
        <w:jc w:val="both"/>
      </w:pPr>
      <w:r>
        <w:rPr>
          <w:rFonts w:ascii="Times New Roman" w:hAnsi="Times New Roman"/>
          <w:b w:val="0"/>
          <w:i w:val="0"/>
          <w:sz w:val="20"/>
        </w:rPr>
        <w:t>Future work follows three directions. The observation layer will be rebuilt to include draw and board-texture features, which the audit shows raises postflop explanatory power by 34%. The evolutionary and PPO agents will then be trained and measured against the solver-derived reference. Finally, extending Local Best Response with multi-street lookahead may yield a bound that the present one-step formulation cannot.</w:t>
      </w:r>
    </w:p>
    <w:p>
      <w:pPr>
        <w:spacing w:before="220" w:after="80"/>
        <w:jc w:val="center"/>
      </w:pPr>
      <w:r>
        <w:rPr>
          <w:rFonts w:ascii="Times New Roman" w:hAnsi="Times New Roman"/>
          <w:sz w:val="20"/>
        </w:rPr>
        <w:t>REFERENCES</w:t>
      </w:r>
    </w:p>
    <w:p>
      <w:pPr>
        <w:spacing w:after="40"/>
        <w:ind w:left="317" w:hanging="317"/>
        <w:jc w:val="both"/>
      </w:pPr>
      <w:r>
        <w:rPr>
          <w:rFonts w:ascii="Times New Roman" w:hAnsi="Times New Roman"/>
          <w:sz w:val="16"/>
        </w:rPr>
        <w:t>[1]  H. W. Kuhn, "Simplified two-person poker," in Contributions to the Theory of Games, vol. 1, Princeton, NJ, USA: Princeton Univ. Press, 1950, pp. 97–103.</w:t>
      </w:r>
    </w:p>
    <w:p>
      <w:pPr>
        <w:spacing w:after="40"/>
        <w:ind w:left="317" w:hanging="317"/>
        <w:jc w:val="both"/>
      </w:pPr>
      <w:r>
        <w:rPr>
          <w:rFonts w:ascii="Times New Roman" w:hAnsi="Times New Roman"/>
          <w:sz w:val="16"/>
        </w:rPr>
        <w:t>[2]  M. Zinkevich, M. Johanson, M. Bowling, and C. Piccione, "Regret minimization in games with incomplete information," in Proc. Adv. Neural Inf. Process. Syst. (NIPS), 2007.</w:t>
      </w:r>
    </w:p>
    <w:p>
      <w:pPr>
        <w:spacing w:after="40"/>
        <w:ind w:left="317" w:hanging="317"/>
        <w:jc w:val="both"/>
      </w:pPr>
      <w:r>
        <w:rPr>
          <w:rFonts w:ascii="Times New Roman" w:hAnsi="Times New Roman"/>
          <w:sz w:val="16"/>
        </w:rPr>
        <w:t>[3]  M. Lanctot, K. Waugh, M. Zinkevich, and M. Bowling, "Monte Carlo sampling for regret minimization in extensive games," in Proc. Adv. Neural Inf. Process. Syst. (NIPS), 2009.</w:t>
      </w:r>
    </w:p>
    <w:p>
      <w:pPr>
        <w:spacing w:after="40"/>
        <w:ind w:left="317" w:hanging="317"/>
        <w:jc w:val="both"/>
      </w:pPr>
      <w:r>
        <w:rPr>
          <w:rFonts w:ascii="Times New Roman" w:hAnsi="Times New Roman"/>
          <w:sz w:val="16"/>
        </w:rPr>
        <w:t>[4]  O. Tammelin, "Solving large imperfect information games using CFR+," arXiv:1407.5042, 2014.</w:t>
      </w:r>
    </w:p>
    <w:p>
      <w:pPr>
        <w:spacing w:after="40"/>
        <w:ind w:left="317" w:hanging="317"/>
        <w:jc w:val="both"/>
      </w:pPr>
      <w:r>
        <w:rPr>
          <w:rFonts w:ascii="Times New Roman" w:hAnsi="Times New Roman"/>
          <w:sz w:val="16"/>
        </w:rPr>
        <w:t>[5]  N. Brown and T. Sandholm, "Solving imperfect-information games via discounted regret minimization," in Proc. AAAI Conf. Artif. Intell., 2019.</w:t>
      </w:r>
    </w:p>
    <w:p>
      <w:pPr>
        <w:spacing w:after="40"/>
        <w:ind w:left="317" w:hanging="317"/>
        <w:jc w:val="both"/>
      </w:pPr>
      <w:r>
        <w:rPr>
          <w:rFonts w:ascii="Times New Roman" w:hAnsi="Times New Roman"/>
          <w:sz w:val="16"/>
        </w:rPr>
        <w:t>[6]  M. Johanson, N. Burch, R. Valenzano, and M. Bowling, "Evaluating state-space abstractions in extensive-form games," in Proc. Int. Conf. Auton. Agents Multi-Agent Syst. (AAMAS), 2013.</w:t>
      </w:r>
    </w:p>
    <w:p>
      <w:pPr>
        <w:spacing w:after="40"/>
        <w:ind w:left="317" w:hanging="317"/>
        <w:jc w:val="both"/>
      </w:pPr>
      <w:r>
        <w:rPr>
          <w:rFonts w:ascii="Times New Roman" w:hAnsi="Times New Roman"/>
          <w:sz w:val="16"/>
        </w:rPr>
        <w:t>[7]  K. Waugh, D. Schnizlein, M. Bowling, and D. Szafron, "Abstraction pathologies in extensive games," in Proc. Int. Conf. Auton. Agents Multi-Agent Syst. (AAMAS), 2009.</w:t>
      </w:r>
    </w:p>
    <w:p>
      <w:pPr>
        <w:spacing w:after="40"/>
        <w:ind w:left="317" w:hanging="317"/>
        <w:jc w:val="both"/>
      </w:pPr>
      <w:r>
        <w:rPr>
          <w:rFonts w:ascii="Times New Roman" w:hAnsi="Times New Roman"/>
          <w:sz w:val="16"/>
        </w:rPr>
        <w:t>[8]  S. Ganzfried and T. Sandholm, "Action translation in extensive-form games with large action spaces," in Proc. Int. Joint Conf. Artif. Intell. (IJCAI), 2013.</w:t>
      </w:r>
    </w:p>
    <w:p>
      <w:pPr>
        <w:spacing w:after="40"/>
        <w:ind w:left="317" w:hanging="317"/>
        <w:jc w:val="both"/>
      </w:pPr>
      <w:r>
        <w:rPr>
          <w:rFonts w:ascii="Times New Roman" w:hAnsi="Times New Roman"/>
          <w:sz w:val="16"/>
        </w:rPr>
        <w:t>[9]  F. Southey, M. Bowling, B. Larson, C. Piccione, N. Burch, D. Billings, and C. Rayner, "Bayes' bluff: Opponent modelling in poker," in Proc. Conf. Uncertainty Artif. Intell. (UAI), 2005.</w:t>
      </w:r>
    </w:p>
    <w:p>
      <w:pPr>
        <w:spacing w:after="40"/>
        <w:ind w:left="317" w:hanging="317"/>
        <w:jc w:val="both"/>
      </w:pPr>
      <w:r>
        <w:rPr>
          <w:rFonts w:ascii="Times New Roman" w:hAnsi="Times New Roman"/>
          <w:sz w:val="16"/>
        </w:rPr>
        <w:t>[10]  V. Lisý and M. Bowling, "Equilibrium approximation quality of current no-limit poker bots," arXiv:1612.07547, 2016.</w:t>
      </w:r>
    </w:p>
    <w:p>
      <w:pPr>
        <w:spacing w:after="40"/>
        <w:ind w:left="317" w:hanging="317"/>
        <w:jc w:val="both"/>
      </w:pPr>
      <w:r>
        <w:rPr>
          <w:rFonts w:ascii="Times New Roman" w:hAnsi="Times New Roman"/>
          <w:sz w:val="16"/>
        </w:rPr>
        <w:t>[11]  M. Moravčík, M. Schmid, N. Burch, V. Lisý, D. Morrill, N. Bard, T. Davis, K. Waugh, M. Johanson, and M. Bowling, "DeepStack: Expert-level artificial intelligence in heads-up no-limit poker," Science, vol. 356, no. 6337, pp. 508–513, 2017.</w:t>
      </w:r>
    </w:p>
    <w:p>
      <w:pPr>
        <w:spacing w:after="40"/>
        <w:ind w:left="317" w:hanging="317"/>
        <w:jc w:val="both"/>
      </w:pPr>
      <w:r>
        <w:rPr>
          <w:rFonts w:ascii="Times New Roman" w:hAnsi="Times New Roman"/>
          <w:sz w:val="16"/>
        </w:rPr>
        <w:t>[12]  N. Brown and T. Sandholm, "Superhuman AI for heads-up no-limit poker: Libratus beats top professionals," Science, vol. 359, no. 6374, pp. 418–424, 2018.</w:t>
      </w:r>
    </w:p>
    <w:p>
      <w:pPr>
        <w:spacing w:after="40"/>
        <w:ind w:left="317" w:hanging="317"/>
        <w:jc w:val="both"/>
      </w:pPr>
      <w:r>
        <w:rPr>
          <w:rFonts w:ascii="Times New Roman" w:hAnsi="Times New Roman"/>
          <w:sz w:val="16"/>
        </w:rPr>
        <w:t>[13]  N. Brown and T. Sandholm, "Superhuman AI for multiplayer poker," Science, vol. 365, no. 6456, pp. 885–890, 2019.</w:t>
      </w:r>
    </w:p>
    <w:p>
      <w:pPr>
        <w:spacing w:after="40"/>
        <w:ind w:left="317" w:hanging="317"/>
        <w:jc w:val="both"/>
      </w:pPr>
      <w:r>
        <w:rPr>
          <w:rFonts w:ascii="Times New Roman" w:hAnsi="Times New Roman"/>
          <w:sz w:val="16"/>
        </w:rPr>
        <w:t>[14]  J. Schulman, F. Wolski, P. Dhariwal, A. Radford, and O. Klimov, "Proximal policy optimization algorithms," arXiv:1707.06347, 2017.</w:t>
      </w:r>
    </w:p>
    <w:p>
      <w:pPr>
        <w:spacing w:after="40"/>
        <w:ind w:left="317" w:hanging="317"/>
        <w:jc w:val="both"/>
      </w:pPr>
      <w:r>
        <w:rPr>
          <w:rFonts w:ascii="Times New Roman" w:hAnsi="Times New Roman"/>
          <w:sz w:val="16"/>
        </w:rPr>
        <w:t>[15]  J. Heinrich and D. Silver, "Deep reinforcement learning from self-play in imperfect-information games," arXiv:1603.01121, 2016.</w:t>
      </w:r>
    </w:p>
    <w:p>
      <w:pPr>
        <w:spacing w:after="40"/>
        <w:ind w:left="317" w:hanging="317"/>
        <w:jc w:val="both"/>
      </w:pPr>
      <w:r>
        <w:rPr>
          <w:rFonts w:ascii="Times New Roman" w:hAnsi="Times New Roman"/>
          <w:sz w:val="16"/>
        </w:rPr>
        <w:t>[16]  N. Brown, A. Lerer, S. Gross, and T. Sandholm, "Deep counterfactual regret minimization," in Proc. Int. Conf. Mach. Learn. (ICML), 2019.</w:t>
      </w:r>
    </w:p>
    <w:p>
      <w:pPr>
        <w:spacing w:after="40"/>
        <w:ind w:left="317" w:hanging="317"/>
        <w:jc w:val="both"/>
      </w:pPr>
      <w:r>
        <w:rPr>
          <w:rFonts w:ascii="Times New Roman" w:hAnsi="Times New Roman"/>
          <w:sz w:val="16"/>
        </w:rPr>
        <w:t>[17]  T. Salimans, J. Ho, X. Chen, S. Sidor, and I. Sutskever, "Evolution strategies as a scalable alternative to reinforcement learning," arXiv:1703.03864, 2017.</w:t>
      </w:r>
    </w:p>
    <w:sectPr w:rsidR="00FC693F" w:rsidRPr="0006063C" w:rsidSect="00034616">
      <w:type w:val="continuous"/>
      <w:pgSz w:w="12240" w:h="15840"/>
      <w:pgMar w:top="1080" w:right="900" w:bottom="1440" w:left="900" w:header="720" w:footer="720" w:gutter="0"/>
      <w:cols w:space="288"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