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Grupo 4 HardTech: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Erradicação da Pobreza e Fome Zero.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problema social a ser trabalhado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highlight w:val="white"/>
          <w:rtl w:val="0"/>
        </w:rPr>
        <w:t xml:space="preserve">Consumo e produção responsável / Fome zero e agricultura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dele na sociedade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Através da Rede Social podemos criar uma teia de solidariedade dando mais visibilidade a situação do mundo real que é a fome e a extrema pobreza, com um fácil acesso, pessoas podem procurar a ajuda de forma fácil e segura e empresas, ONGS e pessoas que podem auxiliar também terá facilidade em ajudar, criando assim um ciclo de doação. Também iremos trabalhar com acessibilidade de empregabilidade para LGBTQ+, Negros (a) e pessoas carentes dando possibilidades de melhor contato com as empresas e empregadores.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Fornecer alimento e bens duráveis às pessoas com extrema necessidade, além de dar visibilidade às demais pessoas com necessidades de emprego e oportunidade.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 modelo de Sistema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Combater o preconceito e desigualdade de gênero, raça e sociedade.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o software planejado para solucionar este problema definindo um tipo de produto no modelo REDE SOCIAL: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rede Social capaz de mudar vidas, com acesso fácil e prático para que todos consiga ter acessibilidade e que tenha o foco de auxiliar qualquer pessoa que necessite desta ajuda;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