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64859" w:rsidRDefault="00564859" w:rsidP="005925A7">
      <w:pPr>
        <w:jc w:val="center"/>
        <w:rPr>
          <w:rFonts w:ascii="Times New Roman" w:hAnsi="Times New Roman" w:cs="Times New Roman"/>
          <w:b/>
          <w:sz w:val="32"/>
          <w:szCs w:val="32"/>
          <w:lang w:val="en-IN"/>
        </w:rPr>
      </w:pPr>
      <w:r>
        <w:rPr>
          <w:rFonts w:ascii="Times New Roman" w:hAnsi="Times New Roman" w:cs="Times New Roman"/>
          <w:b/>
          <w:sz w:val="28"/>
          <w:szCs w:val="28"/>
        </w:rPr>
        <w:t>KIDNEY TRANSPLANT MATCHMAKING: PHASE 1 - HLA ANTIBODY PREDICTION USING MACHINE LEARNING</w:t>
      </w:r>
    </w:p>
    <w:p w:rsidR="003E5324" w:rsidRPr="00280E7D" w:rsidRDefault="005925A7" w:rsidP="005925A7">
      <w:pPr>
        <w:jc w:val="center"/>
        <w:rPr>
          <w:rFonts w:ascii="Times New Roman" w:hAnsi="Times New Roman" w:cs="Times New Roman"/>
          <w:b/>
          <w:sz w:val="32"/>
          <w:szCs w:val="32"/>
          <w:lang w:val="en-IN"/>
        </w:rPr>
      </w:pPr>
      <w:r w:rsidRPr="00280E7D">
        <w:rPr>
          <w:rFonts w:ascii="Times New Roman" w:hAnsi="Times New Roman" w:cs="Times New Roman"/>
          <w:b/>
          <w:sz w:val="32"/>
          <w:szCs w:val="32"/>
          <w:lang w:val="en-IN"/>
        </w:rPr>
        <w:t>ABSTRACT</w:t>
      </w:r>
    </w:p>
    <w:p w:rsidR="00932A77" w:rsidRDefault="00932A77" w:rsidP="00564859">
      <w:pPr>
        <w:pStyle w:val="NormalWeb"/>
        <w:spacing w:line="360" w:lineRule="auto"/>
        <w:jc w:val="both"/>
        <w:rPr>
          <w:sz w:val="28"/>
          <w:szCs w:val="28"/>
        </w:rPr>
      </w:pPr>
      <w:r w:rsidRPr="00932A77">
        <w:rPr>
          <w:sz w:val="28"/>
          <w:szCs w:val="28"/>
        </w:rPr>
        <w:t>Kidney transplantation is a vital therapeutic option for patients with end-stage renal disease, yet its success is critically dependent on the compatibility between donor and recipient. Human Leukocyte Antigen (HLA) testing is essential in assessing this compatibility; however, the emergence of anti-HLA antibodies remains a significant challenge, often leading to transplant rejection. Traditional methods for predicting these antibody responses are limited in accuracy and efficiency, necessitating the development of more advanced predictive models.</w:t>
      </w:r>
      <w:r w:rsidR="00564859">
        <w:rPr>
          <w:sz w:val="28"/>
          <w:szCs w:val="28"/>
        </w:rPr>
        <w:t xml:space="preserve"> </w:t>
      </w:r>
      <w:r w:rsidRPr="00932A77">
        <w:rPr>
          <w:sz w:val="28"/>
          <w:szCs w:val="28"/>
        </w:rPr>
        <w:t xml:space="preserve">This study presents a novel machine learning-based prediction model designed to evaluate the likelihood of anti-HLA antibody formation in kidney transplant candidates. </w:t>
      </w:r>
      <w:r w:rsidR="00564859">
        <w:rPr>
          <w:sz w:val="28"/>
          <w:szCs w:val="28"/>
        </w:rPr>
        <w:t xml:space="preserve"> T</w:t>
      </w:r>
      <w:r w:rsidRPr="00932A77">
        <w:rPr>
          <w:sz w:val="28"/>
          <w:szCs w:val="28"/>
        </w:rPr>
        <w:t xml:space="preserve">he model classifies </w:t>
      </w:r>
      <w:proofErr w:type="spellStart"/>
      <w:r w:rsidRPr="00932A77">
        <w:rPr>
          <w:sz w:val="28"/>
          <w:szCs w:val="28"/>
        </w:rPr>
        <w:t>eplets</w:t>
      </w:r>
      <w:proofErr w:type="spellEnd"/>
      <w:r w:rsidRPr="00932A77">
        <w:rPr>
          <w:sz w:val="28"/>
          <w:szCs w:val="28"/>
        </w:rPr>
        <w:t xml:space="preserve"> as reactive or non-reactive based on their potential to trigger immune responses. Through rigorous experimentation—including train/test validation, cross-validation, and </w:t>
      </w:r>
      <w:proofErr w:type="spellStart"/>
      <w:r w:rsidRPr="00932A77">
        <w:rPr>
          <w:sz w:val="28"/>
          <w:szCs w:val="28"/>
        </w:rPr>
        <w:t>hyperparameter</w:t>
      </w:r>
      <w:proofErr w:type="spellEnd"/>
      <w:r w:rsidRPr="00932A77">
        <w:rPr>
          <w:sz w:val="28"/>
          <w:szCs w:val="28"/>
        </w:rPr>
        <w:t xml:space="preserve"> tuning—the model achieved impressive results, with an accuracy of up to 91% and an AUC-ROC of 94%.</w:t>
      </w:r>
      <w:r w:rsidR="00410A6D">
        <w:rPr>
          <w:sz w:val="28"/>
          <w:szCs w:val="28"/>
        </w:rPr>
        <w:t xml:space="preserve"> </w:t>
      </w:r>
      <w:r w:rsidRPr="00932A77">
        <w:rPr>
          <w:sz w:val="28"/>
          <w:szCs w:val="28"/>
        </w:rPr>
        <w:t>The implementation of this model in a web-based platform using Flask facilitates real-time predictions, providing clinicians and researchers with a user-friendly tool to enhance decision-making processes in transplant eligibility assessments. By leveraging the predictive capabilities of machine learning, this approach aims to significantly improve the accuracy of compatibility evaluations, thereby enhancing the overall outcomes of kidney transplantation and reducing the risks of antibody-mediated rejection.</w:t>
      </w:r>
    </w:p>
    <w:p w:rsidR="00564859" w:rsidRDefault="00564859" w:rsidP="001256A7">
      <w:pPr>
        <w:spacing w:line="360" w:lineRule="auto"/>
        <w:rPr>
          <w:sz w:val="28"/>
          <w:szCs w:val="28"/>
        </w:rPr>
      </w:pPr>
      <w:r>
        <w:rPr>
          <w:rFonts w:ascii="Times New Roman" w:hAnsi="Times New Roman" w:cs="Times New Roman"/>
          <w:sz w:val="28"/>
          <w:szCs w:val="28"/>
          <w:lang w:val="en-IN"/>
        </w:rPr>
        <w:t>Keywords:</w:t>
      </w:r>
      <w:r w:rsidRPr="00410A6D">
        <w:t xml:space="preserve"> </w:t>
      </w:r>
      <w:r w:rsidRPr="00410A6D">
        <w:rPr>
          <w:rFonts w:ascii="Times New Roman" w:hAnsi="Times New Roman" w:cs="Times New Roman"/>
          <w:sz w:val="28"/>
          <w:szCs w:val="28"/>
        </w:rPr>
        <w:t>Human</w:t>
      </w:r>
      <w:r>
        <w:t xml:space="preserve"> </w:t>
      </w:r>
      <w:r w:rsidRPr="00410A6D">
        <w:rPr>
          <w:rFonts w:ascii="Times New Roman" w:hAnsi="Times New Roman" w:cs="Times New Roman"/>
          <w:sz w:val="28"/>
          <w:szCs w:val="28"/>
        </w:rPr>
        <w:t xml:space="preserve">Leukocyte Antigen (HLA), Anti-HLA </w:t>
      </w:r>
      <w:proofErr w:type="gramStart"/>
      <w:r w:rsidRPr="00410A6D">
        <w:rPr>
          <w:rFonts w:ascii="Times New Roman" w:hAnsi="Times New Roman" w:cs="Times New Roman"/>
          <w:sz w:val="28"/>
          <w:szCs w:val="28"/>
        </w:rPr>
        <w:t>antibodies</w:t>
      </w:r>
      <w:r>
        <w:rPr>
          <w:rFonts w:ascii="Times New Roman" w:hAnsi="Times New Roman" w:cs="Times New Roman"/>
          <w:sz w:val="28"/>
          <w:szCs w:val="28"/>
        </w:rPr>
        <w:t xml:space="preserve"> </w:t>
      </w:r>
      <w:r w:rsidRPr="00410A6D">
        <w:rPr>
          <w:rFonts w:ascii="Times New Roman" w:hAnsi="Times New Roman" w:cs="Times New Roman"/>
          <w:sz w:val="28"/>
          <w:szCs w:val="28"/>
        </w:rPr>
        <w:t>,</w:t>
      </w:r>
      <w:r>
        <w:rPr>
          <w:rFonts w:ascii="Times New Roman" w:eastAsia="Times New Roman" w:hAnsi="Times New Roman" w:cs="Times New Roman"/>
          <w:sz w:val="28"/>
          <w:szCs w:val="28"/>
        </w:rPr>
        <w:t>Machine</w:t>
      </w:r>
      <w:proofErr w:type="gramEnd"/>
      <w:r>
        <w:rPr>
          <w:rFonts w:ascii="Times New Roman" w:eastAsia="Times New Roman" w:hAnsi="Times New Roman" w:cs="Times New Roman"/>
          <w:sz w:val="28"/>
          <w:szCs w:val="28"/>
        </w:rPr>
        <w:t xml:space="preserve"> L</w:t>
      </w:r>
      <w:r w:rsidRPr="00410A6D">
        <w:rPr>
          <w:rFonts w:ascii="Times New Roman" w:eastAsia="Times New Roman" w:hAnsi="Times New Roman" w:cs="Times New Roman"/>
          <w:sz w:val="28"/>
          <w:szCs w:val="28"/>
        </w:rPr>
        <w:t>earning,</w:t>
      </w:r>
      <w:r>
        <w:rPr>
          <w:rFonts w:ascii="Times New Roman" w:eastAsia="Times New Roman" w:hAnsi="Times New Roman" w:cs="Times New Roman"/>
          <w:sz w:val="28"/>
          <w:szCs w:val="28"/>
        </w:rPr>
        <w:t xml:space="preserve">  </w:t>
      </w:r>
      <w:proofErr w:type="spellStart"/>
      <w:r w:rsidRPr="00410A6D">
        <w:rPr>
          <w:rFonts w:ascii="Times New Roman" w:eastAsia="Times New Roman" w:hAnsi="Times New Roman" w:cs="Times New Roman"/>
          <w:sz w:val="28"/>
          <w:szCs w:val="28"/>
        </w:rPr>
        <w:t>Eplets</w:t>
      </w:r>
      <w:proofErr w:type="spellEnd"/>
      <w:r>
        <w:rPr>
          <w:rFonts w:ascii="Times New Roman" w:eastAsia="Times New Roman" w:hAnsi="Times New Roman" w:cs="Times New Roman"/>
          <w:sz w:val="28"/>
          <w:szCs w:val="28"/>
        </w:rPr>
        <w:t xml:space="preserve"> </w:t>
      </w:r>
      <w:r w:rsidRPr="00410A6D">
        <w:rPr>
          <w:rFonts w:ascii="Times New Roman" w:eastAsia="Times New Roman" w:hAnsi="Times New Roman" w:cs="Times New Roman"/>
          <w:sz w:val="28"/>
          <w:szCs w:val="28"/>
        </w:rPr>
        <w:t>,</w:t>
      </w:r>
      <w:r>
        <w:rPr>
          <w:rFonts w:ascii="Times New Roman" w:eastAsia="Times New Roman" w:hAnsi="Times New Roman" w:cs="Times New Roman"/>
          <w:sz w:val="28"/>
          <w:szCs w:val="28"/>
        </w:rPr>
        <w:t xml:space="preserve"> </w:t>
      </w:r>
      <w:r w:rsidRPr="00410A6D">
        <w:rPr>
          <w:rFonts w:ascii="Times New Roman" w:eastAsia="Times New Roman" w:hAnsi="Times New Roman" w:cs="Times New Roman"/>
          <w:sz w:val="28"/>
          <w:szCs w:val="28"/>
        </w:rPr>
        <w:t>Reactive classification,</w:t>
      </w:r>
      <w:r>
        <w:rPr>
          <w:rFonts w:ascii="Times New Roman" w:eastAsia="Times New Roman" w:hAnsi="Times New Roman" w:cs="Times New Roman"/>
          <w:sz w:val="28"/>
          <w:szCs w:val="28"/>
        </w:rPr>
        <w:t xml:space="preserve"> </w:t>
      </w:r>
      <w:r w:rsidRPr="00410A6D">
        <w:rPr>
          <w:rFonts w:ascii="Times New Roman" w:eastAsia="Times New Roman" w:hAnsi="Times New Roman" w:cs="Times New Roman"/>
          <w:sz w:val="28"/>
          <w:szCs w:val="28"/>
        </w:rPr>
        <w:t>Cross-validation,</w:t>
      </w:r>
      <w:r>
        <w:rPr>
          <w:rFonts w:ascii="Times New Roman" w:eastAsia="Times New Roman" w:hAnsi="Times New Roman" w:cs="Times New Roman"/>
          <w:sz w:val="28"/>
          <w:szCs w:val="28"/>
        </w:rPr>
        <w:t xml:space="preserve"> </w:t>
      </w:r>
      <w:proofErr w:type="spellStart"/>
      <w:r w:rsidRPr="00410A6D">
        <w:rPr>
          <w:rFonts w:ascii="Times New Roman" w:eastAsia="Times New Roman" w:hAnsi="Times New Roman" w:cs="Times New Roman"/>
          <w:sz w:val="28"/>
          <w:szCs w:val="28"/>
        </w:rPr>
        <w:t>Hyperparameter</w:t>
      </w:r>
      <w:proofErr w:type="spellEnd"/>
      <w:r w:rsidRPr="00410A6D">
        <w:rPr>
          <w:rFonts w:ascii="Times New Roman" w:eastAsia="Times New Roman" w:hAnsi="Times New Roman" w:cs="Times New Roman"/>
          <w:sz w:val="28"/>
          <w:szCs w:val="28"/>
        </w:rPr>
        <w:t xml:space="preserve"> tuning,</w:t>
      </w:r>
      <w:r>
        <w:rPr>
          <w:rFonts w:ascii="Times New Roman" w:eastAsia="Times New Roman" w:hAnsi="Times New Roman" w:cs="Times New Roman"/>
          <w:sz w:val="28"/>
          <w:szCs w:val="28"/>
        </w:rPr>
        <w:t xml:space="preserve"> </w:t>
      </w:r>
      <w:r w:rsidRPr="00410A6D">
        <w:rPr>
          <w:rFonts w:ascii="Times New Roman" w:eastAsia="Times New Roman" w:hAnsi="Times New Roman" w:cs="Times New Roman"/>
          <w:sz w:val="28"/>
          <w:szCs w:val="28"/>
        </w:rPr>
        <w:t>AUC-ROC</w:t>
      </w:r>
    </w:p>
    <w:sectPr w:rsidR="00564859" w:rsidSect="003E5324">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2"/>
  <w:proofState w:spelling="clean" w:grammar="clean"/>
  <w:defaultTabStop w:val="720"/>
  <w:characterSpacingControl w:val="doNotCompress"/>
  <w:compat/>
  <w:rsids>
    <w:rsidRoot w:val="00901F28"/>
    <w:rsid w:val="0001610C"/>
    <w:rsid w:val="001256A7"/>
    <w:rsid w:val="00280E7D"/>
    <w:rsid w:val="002D16B7"/>
    <w:rsid w:val="003E5324"/>
    <w:rsid w:val="00410A6D"/>
    <w:rsid w:val="00521407"/>
    <w:rsid w:val="00564859"/>
    <w:rsid w:val="005925A7"/>
    <w:rsid w:val="008A34C1"/>
    <w:rsid w:val="00901F28"/>
    <w:rsid w:val="00932A77"/>
    <w:rsid w:val="00E5641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3E5324"/>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32A77"/>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1032192774">
      <w:bodyDiv w:val="1"/>
      <w:marLeft w:val="0"/>
      <w:marRight w:val="0"/>
      <w:marTop w:val="0"/>
      <w:marBottom w:val="0"/>
      <w:divBdr>
        <w:top w:val="none" w:sz="0" w:space="0" w:color="auto"/>
        <w:left w:val="none" w:sz="0" w:space="0" w:color="auto"/>
        <w:bottom w:val="none" w:sz="0" w:space="0" w:color="auto"/>
        <w:right w:val="none" w:sz="0" w:space="0" w:color="auto"/>
      </w:divBdr>
    </w:div>
    <w:div w:id="1334341028">
      <w:bodyDiv w:val="1"/>
      <w:marLeft w:val="0"/>
      <w:marRight w:val="0"/>
      <w:marTop w:val="0"/>
      <w:marBottom w:val="0"/>
      <w:divBdr>
        <w:top w:val="none" w:sz="0" w:space="0" w:color="auto"/>
        <w:left w:val="none" w:sz="0" w:space="0" w:color="auto"/>
        <w:bottom w:val="none" w:sz="0" w:space="0" w:color="auto"/>
        <w:right w:val="none" w:sz="0" w:space="0" w:color="auto"/>
      </w:divBdr>
    </w:div>
    <w:div w:id="1599409085">
      <w:bodyDiv w:val="1"/>
      <w:marLeft w:val="0"/>
      <w:marRight w:val="0"/>
      <w:marTop w:val="0"/>
      <w:marBottom w:val="0"/>
      <w:divBdr>
        <w:top w:val="none" w:sz="0" w:space="0" w:color="auto"/>
        <w:left w:val="none" w:sz="0" w:space="0" w:color="auto"/>
        <w:bottom w:val="none" w:sz="0" w:space="0" w:color="auto"/>
        <w:right w:val="none" w:sz="0" w:space="0" w:color="auto"/>
      </w:divBdr>
    </w:div>
    <w:div w:id="1630042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17</TotalTime>
  <Pages>1</Pages>
  <Words>270</Words>
  <Characters>1539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1806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7</cp:revision>
  <dcterms:created xsi:type="dcterms:W3CDTF">2024-10-18T05:05:00Z</dcterms:created>
  <dcterms:modified xsi:type="dcterms:W3CDTF">2024-10-18T09:09:00Z</dcterms:modified>
</cp:coreProperties>
</file>