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5324" w:rsidRPr="00E57696" w:rsidRDefault="00FB0F09" w:rsidP="00E57696">
      <w:pPr>
        <w:jc w:val="center"/>
        <w:rPr>
          <w:rFonts w:ascii="Times New Roman" w:hAnsi="Times New Roman" w:cs="Times New Roman"/>
          <w:b/>
          <w:sz w:val="32"/>
          <w:szCs w:val="32"/>
          <w:lang w:val="en-IN"/>
        </w:rPr>
      </w:pPr>
      <w:r>
        <w:rPr>
          <w:rFonts w:ascii="Times New Roman" w:hAnsi="Times New Roman" w:cs="Times New Roman"/>
          <w:b/>
          <w:sz w:val="32"/>
          <w:szCs w:val="32"/>
          <w:lang w:val="en-IN"/>
        </w:rPr>
        <w:t>CHAPTER I</w:t>
      </w:r>
    </w:p>
    <w:p w:rsidR="00E57696" w:rsidRDefault="00E57696" w:rsidP="00E57696">
      <w:pPr>
        <w:jc w:val="center"/>
        <w:rPr>
          <w:rFonts w:ascii="Times New Roman" w:hAnsi="Times New Roman" w:cs="Times New Roman"/>
          <w:b/>
          <w:sz w:val="32"/>
          <w:szCs w:val="32"/>
          <w:lang w:val="en-IN"/>
        </w:rPr>
      </w:pPr>
      <w:r w:rsidRPr="00E57696">
        <w:rPr>
          <w:rFonts w:ascii="Times New Roman" w:hAnsi="Times New Roman" w:cs="Times New Roman"/>
          <w:b/>
          <w:sz w:val="32"/>
          <w:szCs w:val="32"/>
          <w:lang w:val="en-IN"/>
        </w:rPr>
        <w:t>INRODUCTION</w:t>
      </w:r>
    </w:p>
    <w:p w:rsidR="00E57696" w:rsidRPr="00E57696" w:rsidRDefault="00E57696" w:rsidP="00E57696">
      <w:pPr>
        <w:pStyle w:val="NormalWeb"/>
        <w:spacing w:line="360" w:lineRule="auto"/>
        <w:jc w:val="both"/>
        <w:rPr>
          <w:sz w:val="28"/>
          <w:szCs w:val="28"/>
        </w:rPr>
      </w:pPr>
      <w:r w:rsidRPr="00E57696">
        <w:rPr>
          <w:sz w:val="28"/>
          <w:szCs w:val="28"/>
        </w:rPr>
        <w:t>Kidney transplantation is a life-saving procedure for patients suffering from end-stage renal disease (ESRD), which affects approximately 2 million people worldwide, with over 800,000 individuals currently on waiting lists for organ transplants. It offers patients improved quality of life and longevity, making it a critical intervention in modern medicine. However, the success of kidney transplantation hinges significantly on the compatibility between the donor and recipient. Proper matching is essential to avoid organ rejection and to enhance the longevity of the transplanted organ. Despite advancements in medical technology, accurately predicting whether a donor's kidney will be accepted or rejected by the recipient's immune system remains a complex challenge, often influenced by various immunological factors.</w:t>
      </w:r>
    </w:p>
    <w:p w:rsidR="00E57696" w:rsidRPr="00E57696" w:rsidRDefault="00E57696" w:rsidP="00E57696">
      <w:pPr>
        <w:pStyle w:val="NormalWeb"/>
        <w:spacing w:line="360" w:lineRule="auto"/>
        <w:jc w:val="both"/>
        <w:rPr>
          <w:sz w:val="28"/>
          <w:szCs w:val="28"/>
        </w:rPr>
      </w:pPr>
      <w:r w:rsidRPr="00E57696">
        <w:rPr>
          <w:sz w:val="28"/>
          <w:szCs w:val="28"/>
        </w:rPr>
        <w:t xml:space="preserve">Human Leukocyte Antigens (HLAs) are a group of proteins encoded by the major </w:t>
      </w:r>
      <w:proofErr w:type="spellStart"/>
      <w:r w:rsidRPr="00E57696">
        <w:rPr>
          <w:sz w:val="28"/>
          <w:szCs w:val="28"/>
        </w:rPr>
        <w:t>histocompatibility</w:t>
      </w:r>
      <w:proofErr w:type="spellEnd"/>
      <w:r w:rsidRPr="00E57696">
        <w:rPr>
          <w:sz w:val="28"/>
          <w:szCs w:val="28"/>
        </w:rPr>
        <w:t xml:space="preserve"> complex (MHC) on chromosome 6. These molecules play a crucial role in the immune system by helping to distinguish between self and non-self cells. HLA proteins are present on the surface of nearly all nucleated cells and are essential for presenting peptide fragments derived from pathogens to T cells, a key component of the immune response. In the context of organ transplantation, HLAs are critical because they determine the compatibility between donor and recipient.</w:t>
      </w:r>
    </w:p>
    <w:p w:rsidR="00E57696" w:rsidRPr="00E57696" w:rsidRDefault="00E57696" w:rsidP="00E57696">
      <w:pPr>
        <w:pStyle w:val="NormalWeb"/>
        <w:spacing w:line="360" w:lineRule="auto"/>
        <w:jc w:val="both"/>
        <w:rPr>
          <w:sz w:val="28"/>
          <w:szCs w:val="28"/>
        </w:rPr>
      </w:pPr>
      <w:r w:rsidRPr="00E57696">
        <w:rPr>
          <w:sz w:val="28"/>
          <w:szCs w:val="28"/>
        </w:rPr>
        <w:t xml:space="preserve">The matching of HLA types between a donor and recipient is vital for minimizing the risk of transplant rejection. Each individual inherits a set of HLA genes from their parents, resulting in a unique combination of HLA alleles. Mismatched HLA antigens can lead to an immune response against the transplanted organ, resulting </w:t>
      </w:r>
      <w:r w:rsidRPr="00E57696">
        <w:rPr>
          <w:sz w:val="28"/>
          <w:szCs w:val="28"/>
        </w:rPr>
        <w:lastRenderedPageBreak/>
        <w:t>in acute or chronic rejection. Studies have shown that fully HLA-matched transplants significantly reduce the risk of acute rejection, with rates as low as 10% compared to 30% or higher for mismatched transplants. Thus, the identification of compatible donors is a crucial step in the transplantation process.</w:t>
      </w:r>
    </w:p>
    <w:p w:rsidR="00E57696" w:rsidRPr="00E57696" w:rsidRDefault="00E57696" w:rsidP="00E57696">
      <w:pPr>
        <w:pStyle w:val="NormalWeb"/>
        <w:spacing w:line="360" w:lineRule="auto"/>
        <w:jc w:val="both"/>
        <w:rPr>
          <w:sz w:val="28"/>
          <w:szCs w:val="28"/>
        </w:rPr>
      </w:pPr>
      <w:r w:rsidRPr="00E57696">
        <w:rPr>
          <w:sz w:val="28"/>
          <w:szCs w:val="28"/>
        </w:rPr>
        <w:t>HLA testing is performed to assess compatibility and is a standard practice in transplantation centers worldwide. This testing involves determining the specific HLA types present in both the donor and recipient. A strong match between donor and recipient HLA types is associated with improved transplant outcomes, including lower rejection rates and better long-term graft survival. However, the presence of anti-HLA antibodies poses an additional challenge to successful transplantation. These antibodies can develop as a result of prior sensitization to foreign HLA antigens, whether through previous transplants, blood transfusions, or pregnancy. Research indicates that approximately 20-30% of transplant candidates have detectable anti-HLA antibodies, which significantly increases the risk of rejection and can complicate the transplant process.</w:t>
      </w:r>
    </w:p>
    <w:p w:rsidR="00E57696" w:rsidRPr="00E57696" w:rsidRDefault="00E57696" w:rsidP="00E57696">
      <w:pPr>
        <w:pStyle w:val="NormalWeb"/>
        <w:spacing w:line="360" w:lineRule="auto"/>
        <w:jc w:val="both"/>
        <w:rPr>
          <w:sz w:val="28"/>
          <w:szCs w:val="28"/>
        </w:rPr>
      </w:pPr>
      <w:r w:rsidRPr="00E57696">
        <w:rPr>
          <w:sz w:val="28"/>
          <w:szCs w:val="28"/>
        </w:rPr>
        <w:t xml:space="preserve">The development of anti-HLA antibodies can lead to </w:t>
      </w:r>
      <w:proofErr w:type="spellStart"/>
      <w:r w:rsidRPr="00E57696">
        <w:rPr>
          <w:sz w:val="28"/>
          <w:szCs w:val="28"/>
        </w:rPr>
        <w:t>hyperacute</w:t>
      </w:r>
      <w:proofErr w:type="spellEnd"/>
      <w:r w:rsidRPr="00E57696">
        <w:rPr>
          <w:sz w:val="28"/>
          <w:szCs w:val="28"/>
        </w:rPr>
        <w:t xml:space="preserve"> or acute rejection of the transplanted kidney. </w:t>
      </w:r>
      <w:proofErr w:type="spellStart"/>
      <w:r w:rsidRPr="00E57696">
        <w:rPr>
          <w:sz w:val="28"/>
          <w:szCs w:val="28"/>
        </w:rPr>
        <w:t>Hyperacute</w:t>
      </w:r>
      <w:proofErr w:type="spellEnd"/>
      <w:r w:rsidRPr="00E57696">
        <w:rPr>
          <w:sz w:val="28"/>
          <w:szCs w:val="28"/>
        </w:rPr>
        <w:t xml:space="preserve"> rejection occurs immediately upon transplantation when pre-existing antibodies bind to the donor's HLA antigens, leading to rapid graft failure. Acute rejection, on the other hand, can occur days to months after transplantation and is characterized by a T-cell mediated immune response. Detecting and predicting the formation of these antibodies is essential for improving transplant outcomes, yet traditional methods for assessing transplant compatibility often rely on serological testing, which can be time-consuming and may lack precision.</w:t>
      </w:r>
    </w:p>
    <w:p w:rsidR="00E57696" w:rsidRPr="00E57696" w:rsidRDefault="00E57696" w:rsidP="00E57696">
      <w:pPr>
        <w:pStyle w:val="NormalWeb"/>
        <w:spacing w:line="360" w:lineRule="auto"/>
        <w:jc w:val="both"/>
        <w:rPr>
          <w:sz w:val="28"/>
          <w:szCs w:val="28"/>
        </w:rPr>
      </w:pPr>
      <w:r w:rsidRPr="00E57696">
        <w:rPr>
          <w:sz w:val="28"/>
          <w:szCs w:val="28"/>
        </w:rPr>
        <w:lastRenderedPageBreak/>
        <w:t>In recent years, machine learning (ML) has emerged as a powerful tool for addressing complex medical challenges, offering predictive insights based on large datasets. The application of ML algorithms in predicting anti-HLA antibody formation has shown promise, as they can analyze vast amounts of data to identify patterns that may not be evident through conventional methods. Existing research indicates that machine learning approaches can significantly enhance predictive accuracy, reducing false-negative rates in antibody predictions and ultimately improving patient outcomes.</w:t>
      </w:r>
    </w:p>
    <w:p w:rsidR="00E57696" w:rsidRPr="00E57696" w:rsidRDefault="00E57696" w:rsidP="00E57696">
      <w:pPr>
        <w:pStyle w:val="NormalWeb"/>
        <w:spacing w:line="360" w:lineRule="auto"/>
        <w:jc w:val="both"/>
        <w:rPr>
          <w:sz w:val="28"/>
          <w:szCs w:val="28"/>
        </w:rPr>
      </w:pPr>
      <w:r w:rsidRPr="00E57696">
        <w:rPr>
          <w:sz w:val="28"/>
          <w:szCs w:val="28"/>
        </w:rPr>
        <w:t xml:space="preserve">The objective of this study is to develop a machine learning-based prediction model to evaluate the likelihood of anti-HLA antibody formation based on mismatched HLA </w:t>
      </w:r>
      <w:proofErr w:type="spellStart"/>
      <w:r w:rsidRPr="00E57696">
        <w:rPr>
          <w:sz w:val="28"/>
          <w:szCs w:val="28"/>
        </w:rPr>
        <w:t>eplets</w:t>
      </w:r>
      <w:proofErr w:type="spellEnd"/>
      <w:r w:rsidRPr="00E57696">
        <w:rPr>
          <w:sz w:val="28"/>
          <w:szCs w:val="28"/>
        </w:rPr>
        <w:t xml:space="preserve">. Utilizing two comprehensive datasets containing detailed information about patients and HLA panels, the model will classify </w:t>
      </w:r>
      <w:proofErr w:type="spellStart"/>
      <w:r w:rsidRPr="00E57696">
        <w:rPr>
          <w:sz w:val="28"/>
          <w:szCs w:val="28"/>
        </w:rPr>
        <w:t>eplets</w:t>
      </w:r>
      <w:proofErr w:type="spellEnd"/>
      <w:r w:rsidRPr="00E57696">
        <w:rPr>
          <w:sz w:val="28"/>
          <w:szCs w:val="28"/>
        </w:rPr>
        <w:t xml:space="preserve"> as reactive or non-reactive. Reactive </w:t>
      </w:r>
      <w:proofErr w:type="spellStart"/>
      <w:r w:rsidRPr="00E57696">
        <w:rPr>
          <w:sz w:val="28"/>
          <w:szCs w:val="28"/>
        </w:rPr>
        <w:t>eplets</w:t>
      </w:r>
      <w:proofErr w:type="spellEnd"/>
      <w:r w:rsidRPr="00E57696">
        <w:rPr>
          <w:sz w:val="28"/>
          <w:szCs w:val="28"/>
        </w:rPr>
        <w:t xml:space="preserve"> are associated with a higher likelihood of eliciting an immune response, making their identification crucial for transplant success. The two datasets, </w:t>
      </w:r>
      <w:r w:rsidRPr="00834753">
        <w:rPr>
          <w:rStyle w:val="Strong"/>
          <w:b w:val="0"/>
          <w:sz w:val="28"/>
          <w:szCs w:val="28"/>
        </w:rPr>
        <w:t>pe_dataset.csv</w:t>
      </w:r>
      <w:r w:rsidRPr="00E57696">
        <w:rPr>
          <w:sz w:val="28"/>
          <w:szCs w:val="28"/>
        </w:rPr>
        <w:t xml:space="preserve"> and </w:t>
      </w:r>
      <w:r w:rsidRPr="00834753">
        <w:rPr>
          <w:rStyle w:val="Strong"/>
          <w:b w:val="0"/>
          <w:sz w:val="28"/>
          <w:szCs w:val="28"/>
        </w:rPr>
        <w:t>sp_dataset.csv</w:t>
      </w:r>
      <w:r w:rsidRPr="00E57696">
        <w:rPr>
          <w:sz w:val="28"/>
          <w:szCs w:val="28"/>
        </w:rPr>
        <w:t>, comprise extensive information on patient demographics, HLA alleles, and panel reactivity, providing a rich source of data for model training and validation.</w:t>
      </w:r>
    </w:p>
    <w:p w:rsidR="00E57696" w:rsidRPr="00E57696" w:rsidRDefault="00E57696" w:rsidP="00E57696">
      <w:pPr>
        <w:pStyle w:val="NormalWeb"/>
        <w:spacing w:line="360" w:lineRule="auto"/>
        <w:jc w:val="both"/>
        <w:rPr>
          <w:sz w:val="28"/>
          <w:szCs w:val="28"/>
        </w:rPr>
      </w:pPr>
      <w:r w:rsidRPr="00E57696">
        <w:rPr>
          <w:sz w:val="28"/>
          <w:szCs w:val="28"/>
        </w:rPr>
        <w:t xml:space="preserve">This phase focuses on building a robust prediction system by employing various machine learning techniques. Early experiments using simple train/test validation yielded an accuracy of 89% and an AUC-ROC of 88%. Further iterations involving cross-validation and feature selection improved performance metrics to 89% accuracy and 94% AUC-ROC. </w:t>
      </w:r>
      <w:proofErr w:type="spellStart"/>
      <w:r w:rsidRPr="00E57696">
        <w:rPr>
          <w:sz w:val="28"/>
          <w:szCs w:val="28"/>
        </w:rPr>
        <w:t>Hyperparameter</w:t>
      </w:r>
      <w:proofErr w:type="spellEnd"/>
      <w:r w:rsidRPr="00E57696">
        <w:rPr>
          <w:sz w:val="28"/>
          <w:szCs w:val="28"/>
        </w:rPr>
        <w:t xml:space="preserve"> tuning further enhanced the model's effectiveness, achieving 91% accuracy and 94% AUC-ROC, underscoring the potential of machine learning in improving the predictive capabilities of anti-HLA antibody assessments.</w:t>
      </w:r>
    </w:p>
    <w:p w:rsidR="00E57696" w:rsidRPr="00E57696" w:rsidRDefault="00E57696" w:rsidP="00E57696">
      <w:pPr>
        <w:pStyle w:val="NormalWeb"/>
        <w:spacing w:line="360" w:lineRule="auto"/>
        <w:jc w:val="both"/>
        <w:rPr>
          <w:sz w:val="28"/>
          <w:szCs w:val="28"/>
        </w:rPr>
      </w:pPr>
      <w:r w:rsidRPr="00E57696">
        <w:rPr>
          <w:sz w:val="28"/>
          <w:szCs w:val="28"/>
        </w:rPr>
        <w:lastRenderedPageBreak/>
        <w:t>By integrating this model into a web-based platform using Flask, clinicians and researchers can easily access the tool for real-time predictions, making the system both accessible and practical for clinical use. The ultimate goal of this phase is to provide an efficient, accurate, and user-friendly solution that can significantly improve kidney transplant outcomes by leveraging the predictive power of machine learning to enhance compatibility assessments.</w:t>
      </w:r>
    </w:p>
    <w:p w:rsidR="00E57696" w:rsidRPr="00E57696" w:rsidRDefault="00E57696" w:rsidP="00E57696">
      <w:pPr>
        <w:jc w:val="both"/>
        <w:rPr>
          <w:rFonts w:ascii="Times New Roman" w:hAnsi="Times New Roman" w:cs="Times New Roman"/>
          <w:sz w:val="28"/>
          <w:szCs w:val="28"/>
          <w:lang w:val="en-IN"/>
        </w:rPr>
      </w:pPr>
    </w:p>
    <w:sectPr w:rsidR="00E57696" w:rsidRPr="00E57696" w:rsidSect="003E532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defaultTabStop w:val="720"/>
  <w:characterSpacingControl w:val="doNotCompress"/>
  <w:compat/>
  <w:rsids>
    <w:rsidRoot w:val="00E57696"/>
    <w:rsid w:val="003E5324"/>
    <w:rsid w:val="00834753"/>
    <w:rsid w:val="00B63A2D"/>
    <w:rsid w:val="00E57696"/>
    <w:rsid w:val="00FB0F0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532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57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7696"/>
    <w:rPr>
      <w:b/>
      <w:bCs/>
    </w:rPr>
  </w:style>
</w:styles>
</file>

<file path=word/webSettings.xml><?xml version="1.0" encoding="utf-8"?>
<w:webSettings xmlns:r="http://schemas.openxmlformats.org/officeDocument/2006/relationships" xmlns:w="http://schemas.openxmlformats.org/wordprocessingml/2006/main">
  <w:divs>
    <w:div w:id="1396465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876</Words>
  <Characters>4995</Characters>
  <Application>Microsoft Office Word</Application>
  <DocSecurity>0</DocSecurity>
  <Lines>41</Lines>
  <Paragraphs>11</Paragraphs>
  <ScaleCrop>false</ScaleCrop>
  <Company/>
  <LinksUpToDate>false</LinksUpToDate>
  <CharactersWithSpaces>5860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2024-10-18T05:28:00Z</dcterms:created>
  <dcterms:modified xsi:type="dcterms:W3CDTF">2024-10-18T09:10:00Z</dcterms:modified>
</cp:coreProperties>
</file>