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PROMPT D'ANALYSE, CORRECTION &amp; ENRICHISSEMENT DU CODE</w:t>
      </w:r>
    </w:p>
    <w:p>
      <w:pPr>
        <w:spacing w:after="400"/>
        <w:jc w:val="center"/>
      </w:pPr>
      <w:r>
        <w:rPr>
          <w:b/>
          <w:bCs/>
          <w:color w:val="2874A6"/>
          <w:sz w:val="40"/>
          <w:szCs w:val="40"/>
        </w:rPr>
        <w:t xml:space="preserve">Plateforme E-GUCE 3G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VERSION ENRICHIE AVEC SPÉCIFICATIONS FONCTIONNELLES DÉTAILLÉES</w:t>
      </w:r>
    </w:p>
    <w:p>
      <w:pPr>
        <w:spacing w:after="800"/>
        <w:jc w:val="center"/>
      </w:pPr>
      <w:r>
        <w:rPr>
          <w:i/>
          <w:iCs/>
          <w:sz w:val="22"/>
          <w:szCs w:val="22"/>
        </w:rPr>
        <w:t xml:space="preserve">Basée sur l'analyse approfondie des Dossiers d'Analyse GUCE Cameroun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V2.0 - Enrichie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29/11/2025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E-GUCE 3G - Cameroun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DA_Déclaration_Importation, DA_Transaction_Import, DA_FIMEX_Exportation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CONTEXTE ET CADRE RÉGLEMENTAIRE</w:t>
      </w:r>
    </w:p>
    <w:p>
      <w:pPr>
        <w:pStyle w:val="Heading2"/>
      </w:pPr>
      <w:r>
        <w:t xml:space="preserve">1.1 Cadre Légal des Procédures Import/Export</w:t>
      </w:r>
    </w:p>
    <w:p>
      <w:pPr>
        <w:spacing w:after="150"/>
      </w:pPr>
      <w:r>
        <w:t xml:space="preserve">Les procédures du commerce extérieur du Cameroun sont encadrées par les textes suivants :</w:t>
      </w:r>
    </w:p>
    <w:p>
      <w:pPr>
        <w:pStyle w:val="ListParagraph"/>
        <w:numPr>
          <w:ilvl w:val="0"/>
          <w:numId w:val="2"/>
        </w:numPr>
      </w:pPr>
      <w:r>
        <w:t xml:space="preserve">Loi n° 2016/004 du 18 Avril 2016 régissant le commerce extérieur au Cameroun</w:t>
      </w:r>
    </w:p>
    <w:p>
      <w:pPr>
        <w:pStyle w:val="ListParagraph"/>
        <w:numPr>
          <w:ilvl w:val="0"/>
          <w:numId w:val="2"/>
        </w:numPr>
      </w:pPr>
      <w:r>
        <w:t xml:space="preserve">Note de service 083/MINFI/DGD du 27 Mars 2018 - Modalités d'émission DI/DE par la DGD</w:t>
      </w:r>
    </w:p>
    <w:p>
      <w:pPr>
        <w:pStyle w:val="ListParagraph"/>
        <w:numPr>
          <w:ilvl w:val="0"/>
          <w:numId w:val="2"/>
        </w:numPr>
      </w:pPr>
      <w:r>
        <w:t xml:space="preserve">Loi n°2019/023 du 24 décembre 2019 - Loi de finances exercice 2020</w:t>
      </w:r>
    </w:p>
    <w:p>
      <w:pPr>
        <w:pStyle w:val="ListParagraph"/>
        <w:numPr>
          <w:ilvl w:val="0"/>
          <w:numId w:val="2"/>
        </w:numPr>
      </w:pPr>
      <w:r>
        <w:t xml:space="preserve">Note de service N°107/MINEFI/DD6 - Contrôle des normes à l'importation</w:t>
      </w:r>
    </w:p>
    <w:p>
      <w:pPr>
        <w:pStyle w:val="ListParagraph"/>
        <w:numPr>
          <w:ilvl w:val="0"/>
          <w:numId w:val="2"/>
        </w:numPr>
      </w:pPr>
      <w:r>
        <w:t xml:space="preserve">Instruction ministérielle N°246/MINEFI/DD du 3 juillet 2001 - Évaluation en douane OMC</w:t>
      </w:r>
    </w:p>
    <w:p>
      <w:pPr>
        <w:pStyle w:val="ListParagraph"/>
        <w:numPr>
          <w:ilvl w:val="0"/>
          <w:numId w:val="2"/>
        </w:numPr>
      </w:pPr>
      <w:r>
        <w:t xml:space="preserve">Lettre circulaire n°001/MINCOMMERCE du 3 janvier 2017 - Dématérialisation FIMEX</w:t>
      </w:r>
    </w:p>
    <w:p>
      <w:pPr>
        <w:pStyle w:val="Heading2"/>
      </w:pPr>
      <w:r>
        <w:t xml:space="preserve">1.2 Architecture Cible E-GUCE 3G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🏭 E-GUCE 3G GENERATOR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🌍 INSTANCE GUCE (par pays)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Multi-Tenant | https://e-guce-hub.com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Single-Tenant | https://guce-{pays}.com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Génère et supervise les instances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Opère les procédures du commerce extérieur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Modules: Tenant Builder, Generator Engine, Monitoring 360°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Portails: e-Force, e-Gov, e-Business, e-Payment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PROCÉDURE DE DÉCLARATION D'IMPORTATION (DI)</w:t>
      </w:r>
    </w:p>
    <w:p>
      <w:pPr>
        <w:pStyle w:val="Heading2"/>
      </w:pPr>
      <w:r>
        <w:t xml:space="preserve">2.1 Acteurs et Rôles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 / Responsabilités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Importateur/CAD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Initie et soumet les demandes de DI, paie les frais, consulte les factures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Traite les DI &gt; 1M FCFA et marchandises standards (taxe 0.95% FOB min 110 000 FCFA)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Douane (DGD)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Traite les DI &lt; 1M FCFA, véhicules d'occasion, poussins, œufs (taxe fixe 6 000 FCFA)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Encaissement des paiements via PayOnline pour DI &gt; 1M FCFA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Campost/CNCC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Encaissement des paiements pour DI &lt; 2M FCFA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MINSANTE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Signature du Visa Technique Provisoire pour importation de médicaments</w:t>
            </w:r>
          </w:p>
        </w:tc>
      </w:tr>
    </w:tbl>
    <w:p>
      <w:pPr>
        <w:pStyle w:val="Heading2"/>
      </w:pPr>
      <w:r>
        <w:t xml:space="preserve">2.2 Règles Métier de Routage SGS vs Douane</w:t>
      </w:r>
    </w:p>
    <w:p>
      <w:pPr>
        <w:spacing w:after="150"/>
      </w:pPr>
      <w:r>
        <w:rPr>
          <w:b/>
          <w:bCs/>
        </w:rPr>
        <w:t xml:space="preserve">RÈGLE CRITIQUE - Orientation automatique des DI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Réf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Règle Métier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 vers SGS si: Valeur FOB &gt; 1 000 000 FCFA ET marchandise AUTRE QUE (véhicules d'occasion, poussins, œufs)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 vers DOUANE si: Valeur FOB ≤ 1 000 000 FCFA OU marchandise = véhicules d'occasion OU poussins OU œufs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Marchandises non soumises au Programme de Vérification des Importations → SGS sans taxe d'inspection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Taxe SGS = MAX(0.95% × Valeur FOB, 110 000 FCFA) + 1 500 FCFA (timbre fiscal)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Taxe Douane = 6 000 FCFA (inspection) + 1 500 FCFA (timbre fiscal) = 7 500 FCFA total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Canal paiement: Valeur &lt; 2M FCFA → Campost + Caisse GUCE | Valeur ≥ 2M FCFA → Banque (PayOnline)</w:t>
            </w:r>
          </w:p>
        </w:tc>
      </w:tr>
    </w:tbl>
    <w:p>
      <w:pPr>
        <w:pStyle w:val="Heading2"/>
      </w:pPr>
      <w:r>
        <w:t xml:space="preserve">2.3 Règles de Calcul selon les Termes de Vente (INCOTERMS)</w:t>
      </w:r>
    </w:p>
    <w:p>
      <w:pPr>
        <w:spacing w:after="150"/>
      </w:pPr>
      <w:r>
        <w:t xml:space="preserve">Le système doit valider le montant total en devise selon le terme de vente sélectionné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INCOTERM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Formule de Validation du Montant 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Montant Total = Σ Valeurs FOB marchandises + Frais de mise à FOB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Montant Total = Σ Valeurs FOB + Frais mise FOB + Montant Fret + Montant Assurance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Montant Total = Σ Valeurs FOB marchandises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CFR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Montant Total = Σ Valeurs FOB + Frais mise FOB + Montant Fret + Montant Assurance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CIP/CPT/DAP/DPU/DDP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Montant Total = Σ Valeurs FOB + Frais mise FOB + Montant Fret + Montant Assurance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EXW/FCA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Montant Total = Σ Valeurs FOB + Frais de mise à FOB</w:t>
            </w:r>
          </w:p>
        </w:tc>
      </w:tr>
    </w:tbl>
    <w:p>
      <w:pPr>
        <w:pStyle w:val="Heading2"/>
      </w:pPr>
      <w:r>
        <w:t xml:space="preserve">2.4 Types d'Importation Supportés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Préconditions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Procédures Déclenchées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Inscription FIMEX, Facture proforma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 + Domiciliation bancaire (optionnel)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Inscription FIMEX, Facture proforma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 groupée + Domiciliation bancaire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Médicaments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AMM ou Dérogation MINSANTE + Proforma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 + Visa Technique Provisoire + Domiciliation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Facture proforma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 transit (marchandise de passage)</w:t>
            </w:r>
          </w:p>
        </w:tc>
      </w:tr>
    </w:tbl>
    <w:p>
      <w:pPr>
        <w:pStyle w:val="Heading2"/>
      </w:pPr>
      <w:r>
        <w:t xml:space="preserve">2.5 Cas d'Utilisation Détaillés</w:t>
      </w:r>
    </w:p>
    <w:p>
      <w:pPr>
        <w:pStyle w:val="Heading3"/>
      </w:pPr>
      <w:r>
        <w:t xml:space="preserve">2.5.1 CU-DI-01: Initier une Déclaration d'Importation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Acteur 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Importateur / CAD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Préconditions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Inscription FIMEX valide + Compte e-GUCE actif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Pièces Jointes Obligatoires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Facture proforma (+ AMM/Dérogation pour médicaments)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Post-condition SGS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Dossier en attente traitement SGS après paiement taxe inspection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Post-condition Douane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Dossier en attente traitement DGD après paiement 7 500 FCFA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Séquence Nominale:</w:t>
      </w:r>
    </w:p>
    <w:p>
      <w:pPr>
        <w:pStyle w:val="ListParagraph"/>
        <w:numPr>
          <w:ilvl w:val="0"/>
          <w:numId w:val="3"/>
        </w:numPr>
      </w:pPr>
      <w:r>
        <w:t xml:space="preserve">L'opérateur s'authentifie sur la plateforme e-GUCE</w:t>
      </w:r>
    </w:p>
    <w:p>
      <w:pPr>
        <w:pStyle w:val="ListParagraph"/>
        <w:numPr>
          <w:ilvl w:val="0"/>
          <w:numId w:val="3"/>
        </w:numPr>
      </w:pPr>
      <w:r>
        <w:t xml:space="preserve">Il accède au menu "Initiation du circuit de pré-dédouanement à l'import"</w:t>
      </w:r>
    </w:p>
    <w:p>
      <w:pPr>
        <w:pStyle w:val="ListParagraph"/>
        <w:numPr>
          <w:ilvl w:val="0"/>
          <w:numId w:val="3"/>
        </w:numPr>
      </w:pPr>
      <w:r>
        <w:t xml:space="preserve">Il sélectionne le type d'importation (Classique, Groupage, Médicaments, Transit)</w:t>
      </w:r>
    </w:p>
    <w:p>
      <w:pPr>
        <w:pStyle w:val="ListParagraph"/>
        <w:numPr>
          <w:ilvl w:val="0"/>
          <w:numId w:val="3"/>
        </w:numPr>
      </w:pPr>
      <w:r>
        <w:t xml:space="preserve">Il renseigne le formulaire: intervenants, informations générales, liste marchandises</w:t>
      </w:r>
    </w:p>
    <w:p>
      <w:pPr>
        <w:pStyle w:val="ListParagraph"/>
        <w:numPr>
          <w:ilvl w:val="0"/>
          <w:numId w:val="3"/>
        </w:numPr>
      </w:pPr>
      <w:r>
        <w:t xml:space="preserve">Il attache les pièces jointes obligatoires</w:t>
      </w:r>
    </w:p>
    <w:p>
      <w:pPr>
        <w:pStyle w:val="ListParagraph"/>
        <w:numPr>
          <w:ilvl w:val="0"/>
          <w:numId w:val="3"/>
        </w:numPr>
      </w:pPr>
      <w:r>
        <w:t xml:space="preserve">Le système affiche confirmation avec total frais et procédures déclenchées</w:t>
      </w:r>
    </w:p>
    <w:p>
      <w:pPr>
        <w:pStyle w:val="ListParagraph"/>
        <w:numPr>
          <w:ilvl w:val="0"/>
          <w:numId w:val="3"/>
        </w:numPr>
      </w:pPr>
      <w:r>
        <w:t xml:space="preserve">L'opérateur confirme l'envoi → Génération référence dossier pré-dédouanement</w:t>
      </w:r>
    </w:p>
    <w:p>
      <w:pPr>
        <w:pStyle w:val="Heading3"/>
      </w:pPr>
      <w:r>
        <w:t xml:space="preserve">2.5.2 CU-DI-02: Prorogation de DI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Réf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Règle Métier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Validité initiale d'une DI: 9 mois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Prorogation possible: UNE SEULE FOIS pour 3 mois supplémentaires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Condition: La DI doit être EXPIRÉE (prorogation impossible sur DI encore valide)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référence du dossier prorogé reste IDENTIQUE à celle du dossier initial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Les informations du formulaire sont NON MODIFIABLES lors de la prorogation</w:t>
            </w:r>
          </w:p>
        </w:tc>
      </w:tr>
    </w:tbl>
    <w:p>
      <w:pPr>
        <w:pStyle w:val="Heading3"/>
      </w:pPr>
      <w:r>
        <w:t xml:space="preserve">2.5.3 CU-DI-03: Modification de DI (Amendement)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Réf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Règle Métier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Précondition: DI préalablement validée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INTERDIT: Diminution de la valeur FOB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Une DI peut faire l'objet de PLUSIEURS modifications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référence reste IDENTIQUE à celle du dossier initial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Les informations des intervenants sont NON MODIFIABLES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 champ "Observation" est OBLIGATOIRE (objet de la modification)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Pièce jointe obligatoire: La DI validée originale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GESTION DES TRANSACTIONS D'IMPORTATION</w:t>
      </w:r>
    </w:p>
    <w:p>
      <w:pPr>
        <w:pStyle w:val="Heading2"/>
      </w:pPr>
      <w:r>
        <w:t xml:space="preserve">3.1 Fonctionnalités Opérateur (Importateur/CAD)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Initier importation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Classique, Groupage, Médicaments, Transit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Consulter dossiers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Afficher tous les dossiers initiés (ordre décroissant)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Consulter historique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Voir toutes les étapes parcourues par un dossier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Coter un dossier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Attribuer les droits de modification/consultation à un autre CAD (max 1 CAD par dossier)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Télécharger eFSD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Télécharger la Fiche de Suivi de Dossier électronique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Créer par copie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Création rapide d'un nouveau dossier à partir d'un dossier existant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Consulter factures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Voir les factures en attente de paiement</w:t>
            </w:r>
          </w:p>
        </w:tc>
      </w:tr>
    </w:tbl>
    <w:p>
      <w:pPr>
        <w:pStyle w:val="Heading2"/>
      </w:pPr>
      <w:r>
        <w:t xml:space="preserve">3.2 Règles de Gestion Transaction Import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Réf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Règle Métier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numéro de dossier correspond à UN circuit de pré-dédouanement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case "Déclaration d'importation" est automatiquement cochée à l'envoi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case "Domiciliation bancaire" est optionnelle (cochée ou non par l'opérateur)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dossier NE peut PAS être coté à deux (02) CAD simultanément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Pour médicaments: Le Visa Technique Provisoire DOIT être signé AVANT validation de la DI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RM06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L'initiation d'un dossier déclenche AUTOMATIQUEMENT une demande de DI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INSCRIPTION AU FICHIER DES IMPORTATEURS/EXPORTATEURS (FIMEX)</w:t>
      </w:r>
    </w:p>
    <w:p>
      <w:pPr>
        <w:pStyle w:val="Heading2"/>
      </w:pPr>
      <w:r>
        <w:t xml:space="preserve">4.1 Acteurs et Fonctionnalités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Exportateur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Demande inscription FIMEX, Payer frais, Consulter complément d'info, Télécharger certificat, Demander renouvellement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MINCOMMERCE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Consulter demandes, Valider conformité documentaire, Émettre complément d'info, Traiter demande, Rejeter demande, Signer certificat, Encaisser frais étude dossier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CNCC/Campost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Encaisser les frais obligatoires d'inscription (10 000 FCFA)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Recevoir copie de tous les certificats d'inscription émis</w:t>
            </w:r>
          </w:p>
        </w:tc>
      </w:tr>
    </w:tbl>
    <w:p>
      <w:pPr>
        <w:pStyle w:val="Heading2"/>
      </w:pPr>
      <w:r>
        <w:t xml:space="preserve">4.2 Workflow d'Inscription FIMEX</w:t>
      </w:r>
    </w:p>
    <w:p>
      <w:pPr>
        <w:spacing w:after="150"/>
      </w:pPr>
      <w:r>
        <w:rPr>
          <w:b/>
          <w:bCs/>
        </w:rPr>
        <w:t xml:space="preserve">Étapes du processus: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000"/>
        <w:gridCol w:w="2430"/>
        <w:gridCol w:w="243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Intervenant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Pièces Jointes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Demande inscription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Exportateur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Attestation conformité fiscale, Registre commerce, Carte contribuable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Paiement frais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CNCC + MINCOMMERCE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Quittance 10 000 FCFA (CNCC) + 15 000 FCFA (étude dossier)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Traitement demande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Responsable MINCOMMERCE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Décision: Envoi / Complément info / Rejet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Signature certificat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Signataire MINCOMMERCE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Certificat d'inscription FIMEX signé</w:t>
            </w:r>
          </w:p>
        </w:tc>
      </w:tr>
    </w:tbl>
    <w:p>
      <w:pPr>
        <w:pStyle w:val="Heading2"/>
      </w:pPr>
      <w:r>
        <w:t xml:space="preserve">4.3 Frais d'Inscription FIMEX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 de Frais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Encaisseur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Frais obligatoires inscription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10 000 FCFA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CNCC / Campost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Frais étude de dossier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15 000 FCFA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Régisseur MINCOMMERCE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25 000 FCFA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DICTIONNAIRE DE DONNÉES CONSOLIDÉ</w:t>
      </w:r>
    </w:p>
    <w:p>
      <w:pPr>
        <w:pStyle w:val="Heading2"/>
      </w:pPr>
      <w:r>
        <w:t xml:space="preserve">5.1 Entité: Importateur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200"/>
        <w:gridCol w:w="7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O/F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Importateur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Numéro contribuable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Identifiant fiscal unique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 / Raison sociale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Dénomination complète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Adresse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Adresse postale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Téléphone 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Numéro contact principal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Adresse électronique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Pays d'établissement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Personne à contacter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 du contact</w:t>
            </w:r>
          </w:p>
        </w:tc>
      </w:tr>
    </w:tbl>
    <w:p>
      <w:pPr>
        <w:pStyle w:val="Heading2"/>
      </w:pPr>
      <w:r>
        <w:t xml:space="preserve">5.2 Entité: Fournisseur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200"/>
        <w:gridCol w:w="7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O/F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Fournisseur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 du fournisseur étranger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Référence interne fournisseur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Adresse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Adresse complète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Boite postale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Pays d'origine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Ville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Téléphone fixe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N..35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Téléphone bureau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Adresse électronique</w:t>
            </w:r>
          </w:p>
        </w:tc>
      </w:tr>
    </w:tbl>
    <w:p>
      <w:pPr>
        <w:pStyle w:val="Heading2"/>
      </w:pPr>
      <w:r>
        <w:t xml:space="preserve">5.3 Entité: Informations Générales DI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200"/>
        <w:gridCol w:w="7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O/F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Infos Générales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Référence dossier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Numéro unique généré par le système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Pays d'origine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Pays de fabrication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Pays de provenance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Pays d'expédition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Pays de destination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Cameroun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Lieu de déchargement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Port/Aéroport d'arrivée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 de transport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Maritime, Aérien, Routier, Ferroviaire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N° facture proforma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Référence facture fournisseur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facture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émission proforma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devise (EUR, USD, XAF...)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Montant total en devise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N..100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Valeur totale facture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Valeur FOB en devise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N..100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Valeur FOB totale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Frais de mise en FOB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N..100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Frais avant embarquement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Taux de 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N..6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Taux conversion vers FCFA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Montant fret en devise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N..100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Frais de transport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Montant assurance devise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N..100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Prime d'assurance</w:t>
            </w:r>
          </w:p>
        </w:tc>
      </w:tr>
    </w:tbl>
    <w:p>
      <w:pPr>
        <w:pStyle w:val="Heading2"/>
      </w:pPr>
      <w:r>
        <w:t xml:space="preserve">5.4 Entité: Marchandise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200"/>
        <w:gridCol w:w="7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O/F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Marchandise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N° marchandise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N..3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Numéro d'ordre ligne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tarifaire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SH (Système Harmonisé)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Désignation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Libellé produit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 d'unités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N..2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Poids en kg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 détaillée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Valeur FOB unitaire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N..100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Prix FOB par unité</w:t>
            </w:r>
          </w:p>
        </w:tc>
      </w:tr>
    </w:tbl>
    <w:p>
      <w:pPr>
        <w:pStyle w:val="Heading2"/>
      </w:pPr>
      <w:r>
        <w:t xml:space="preserve">5.5 Entité: Médicaments (Extension)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200"/>
        <w:gridCol w:w="7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O/F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Médicaments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bureau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bureau douanier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Numéro AOI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Autorisation Opération Import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Agrément MINSANTE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émission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délivrance agrément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N° agrément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N..8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Numéro AMM ou dérogation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Pharmacien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 pharmacien responsable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Contact pharmacien</w:t>
            </w:r>
          </w:p>
        </w:tc>
      </w:tr>
    </w:tbl>
    <w:p>
      <w:pPr>
        <w:pStyle w:val="Heading2"/>
      </w:pPr>
      <w:r>
        <w:t xml:space="preserve">5.6 Entité: Demande Inscription FIMEX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200"/>
        <w:gridCol w:w="7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O/F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FIMEX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 Demande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Inscription initiale / Renouvellement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Numéro contribuable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NIU fiscal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Raison sociale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Numéro CNI/SSN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N..12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Pièce identité dirigeant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Personnalité juridique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Forme juridique (SA, SARL...)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Pays de naissance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Nationalité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Chiffre d'affaires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N..35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 annuel déclaré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Activité principale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Secteur d'activité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N° Registre commerce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RCCM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AN..12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Adresse électronique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CHECKLIST DE VALIDATION DU CODE</w:t>
      </w:r>
    </w:p>
    <w:p>
      <w:pPr>
        <w:pStyle w:val="Heading2"/>
      </w:pPr>
      <w:r>
        <w:t xml:space="preserve">6.1 Module Déclaration d'Importation</w:t>
      </w:r>
    </w:p>
    <w:p>
      <w:pPr>
        <w:pStyle w:val="ListParagraph"/>
        <w:numPr>
          <w:ilvl w:val="0"/>
          <w:numId w:val="4"/>
        </w:numPr>
      </w:pPr>
      <w:r>
        <w:t xml:space="preserve">Formulaire d'initiation DI avec tous les champs du dictionnaire de données</w:t>
      </w:r>
    </w:p>
    <w:p>
      <w:pPr>
        <w:pStyle w:val="ListParagraph"/>
        <w:numPr>
          <w:ilvl w:val="0"/>
          <w:numId w:val="4"/>
        </w:numPr>
      </w:pPr>
      <w:r>
        <w:t xml:space="preserve">Sélection type importation: Classique, Groupage, Médicaments, Transit</w:t>
      </w:r>
    </w:p>
    <w:p>
      <w:pPr>
        <w:pStyle w:val="ListParagraph"/>
        <w:numPr>
          <w:ilvl w:val="0"/>
          <w:numId w:val="4"/>
        </w:numPr>
      </w:pPr>
      <w:r>
        <w:t xml:space="preserve">Calcul automatique routage SGS vs Douane selon règles métier</w:t>
      </w:r>
    </w:p>
    <w:p>
      <w:pPr>
        <w:pStyle w:val="ListParagraph"/>
        <w:numPr>
          <w:ilvl w:val="0"/>
          <w:numId w:val="4"/>
        </w:numPr>
      </w:pPr>
      <w:r>
        <w:t xml:space="preserve">Validation INCOTERMS et cohérence montants selon terme de vente</w:t>
      </w:r>
    </w:p>
    <w:p>
      <w:pPr>
        <w:pStyle w:val="ListParagraph"/>
        <w:numPr>
          <w:ilvl w:val="0"/>
          <w:numId w:val="4"/>
        </w:numPr>
      </w:pPr>
      <w:r>
        <w:t xml:space="preserve">Calcul taxe inspection: 0.95% FOB (min 110 000) + 1 500 pour SGS</w:t>
      </w:r>
    </w:p>
    <w:p>
      <w:pPr>
        <w:pStyle w:val="ListParagraph"/>
        <w:numPr>
          <w:ilvl w:val="0"/>
          <w:numId w:val="4"/>
        </w:numPr>
      </w:pPr>
      <w:r>
        <w:t xml:space="preserve">Calcul taxe inspection: 6 000 + 1 500 = 7 500 FCFA pour Douane</w:t>
      </w:r>
    </w:p>
    <w:p>
      <w:pPr>
        <w:pStyle w:val="ListParagraph"/>
        <w:numPr>
          <w:ilvl w:val="0"/>
          <w:numId w:val="4"/>
        </w:numPr>
      </w:pPr>
      <w:r>
        <w:t xml:space="preserve">Gestion prorogation (1 seule fois, 3 mois, DI expirée uniquement)</w:t>
      </w:r>
    </w:p>
    <w:p>
      <w:pPr>
        <w:pStyle w:val="ListParagraph"/>
        <w:numPr>
          <w:ilvl w:val="0"/>
          <w:numId w:val="4"/>
        </w:numPr>
      </w:pPr>
      <w:r>
        <w:t xml:space="preserve">Gestion modification/amendement (pas de diminution valeur FOB)</w:t>
      </w:r>
    </w:p>
    <w:p>
      <w:pPr>
        <w:pStyle w:val="ListParagraph"/>
        <w:numPr>
          <w:ilvl w:val="0"/>
          <w:numId w:val="4"/>
        </w:numPr>
      </w:pPr>
      <w:r>
        <w:t xml:space="preserve">Extension médicaments: Onglet spécifique + Visa Technique Provisoire</w:t>
      </w:r>
    </w:p>
    <w:p>
      <w:pPr>
        <w:pStyle w:val="ListParagraph"/>
        <w:numPr>
          <w:ilvl w:val="0"/>
          <w:numId w:val="4"/>
        </w:numPr>
      </w:pPr>
      <w:r>
        <w:t xml:space="preserve">Intégration Camunda: Workflow BPMN avec tâches utilisateur pour SGS/Douane/MINSANTE</w:t>
      </w:r>
    </w:p>
    <w:p>
      <w:pPr>
        <w:pStyle w:val="Heading2"/>
      </w:pPr>
      <w:r>
        <w:t xml:space="preserve">6.2 Module Transaction Import</w:t>
      </w:r>
    </w:p>
    <w:p>
      <w:pPr>
        <w:pStyle w:val="ListParagraph"/>
        <w:numPr>
          <w:ilvl w:val="0"/>
          <w:numId w:val="4"/>
        </w:numPr>
      </w:pPr>
      <w:r>
        <w:t xml:space="preserve">Liste dossiers par ordre décroissant avec pagination</w:t>
      </w:r>
    </w:p>
    <w:p>
      <w:pPr>
        <w:pStyle w:val="ListParagraph"/>
        <w:numPr>
          <w:ilvl w:val="0"/>
          <w:numId w:val="4"/>
        </w:numPr>
      </w:pPr>
      <w:r>
        <w:t xml:space="preserve">Consultation historique (toutes étapes du dossier)</w:t>
      </w:r>
    </w:p>
    <w:p>
      <w:pPr>
        <w:pStyle w:val="ListParagraph"/>
        <w:numPr>
          <w:ilvl w:val="0"/>
          <w:numId w:val="4"/>
        </w:numPr>
      </w:pPr>
      <w:r>
        <w:t xml:space="preserve">Cotation de dossier (attribuer à 1 CAD maximum)</w:t>
      </w:r>
    </w:p>
    <w:p>
      <w:pPr>
        <w:pStyle w:val="ListParagraph"/>
        <w:numPr>
          <w:ilvl w:val="0"/>
          <w:numId w:val="4"/>
        </w:numPr>
      </w:pPr>
      <w:r>
        <w:t xml:space="preserve">Téléchargement eFSD (Fiche Suivi Dossier électronique)</w:t>
      </w:r>
    </w:p>
    <w:p>
      <w:pPr>
        <w:pStyle w:val="ListParagraph"/>
        <w:numPr>
          <w:ilvl w:val="0"/>
          <w:numId w:val="4"/>
        </w:numPr>
      </w:pPr>
      <w:r>
        <w:t xml:space="preserve">Création par copie depuis dossier existant</w:t>
      </w:r>
    </w:p>
    <w:p>
      <w:pPr>
        <w:pStyle w:val="ListParagraph"/>
        <w:numPr>
          <w:ilvl w:val="0"/>
          <w:numId w:val="4"/>
        </w:numPr>
      </w:pPr>
      <w:r>
        <w:t xml:space="preserve">Consultation factures en attente de paiement</w:t>
      </w:r>
    </w:p>
    <w:p>
      <w:pPr>
        <w:pStyle w:val="ListParagraph"/>
        <w:numPr>
          <w:ilvl w:val="0"/>
          <w:numId w:val="4"/>
        </w:numPr>
      </w:pPr>
      <w:r>
        <w:t xml:space="preserve">Déclenchement automatique DI à l'envoi du dossier</w:t>
      </w:r>
    </w:p>
    <w:p>
      <w:pPr>
        <w:pStyle w:val="Heading2"/>
      </w:pPr>
      <w:r>
        <w:t xml:space="preserve">6.3 Module FIMEX</w:t>
      </w:r>
    </w:p>
    <w:p>
      <w:pPr>
        <w:pStyle w:val="ListParagraph"/>
        <w:numPr>
          <w:ilvl w:val="0"/>
          <w:numId w:val="4"/>
        </w:numPr>
      </w:pPr>
      <w:r>
        <w:t xml:space="preserve">Formulaire demande inscription avec tous les champs requis</w:t>
      </w:r>
    </w:p>
    <w:p>
      <w:pPr>
        <w:pStyle w:val="ListParagraph"/>
        <w:numPr>
          <w:ilvl w:val="0"/>
          <w:numId w:val="4"/>
        </w:numPr>
      </w:pPr>
      <w:r>
        <w:t xml:space="preserve">Workflow: Demande → Paiement CNCC → Paiement MINCOMMERCE → Traitement → Signature</w:t>
      </w:r>
    </w:p>
    <w:p>
      <w:pPr>
        <w:pStyle w:val="ListParagraph"/>
        <w:numPr>
          <w:ilvl w:val="0"/>
          <w:numId w:val="4"/>
        </w:numPr>
      </w:pPr>
      <w:r>
        <w:t xml:space="preserve">Gestion pièces jointes: Attestation conformité fiscale, Registre commerce, Carte contribuable</w:t>
      </w:r>
    </w:p>
    <w:p>
      <w:pPr>
        <w:pStyle w:val="ListParagraph"/>
        <w:numPr>
          <w:ilvl w:val="0"/>
          <w:numId w:val="4"/>
        </w:numPr>
      </w:pPr>
      <w:r>
        <w:t xml:space="preserve">Encaissement frais: 10 000 FCFA (CNCC) + 15 000 FCFA (MINCOMMERCE)</w:t>
      </w:r>
    </w:p>
    <w:p>
      <w:pPr>
        <w:pStyle w:val="ListParagraph"/>
        <w:numPr>
          <w:ilvl w:val="0"/>
          <w:numId w:val="4"/>
        </w:numPr>
      </w:pPr>
      <w:r>
        <w:t xml:space="preserve">Actions traitement: Envoyer, Complément d'information, Rejeter</w:t>
      </w:r>
    </w:p>
    <w:p>
      <w:pPr>
        <w:pStyle w:val="ListParagraph"/>
        <w:numPr>
          <w:ilvl w:val="0"/>
          <w:numId w:val="4"/>
        </w:numPr>
      </w:pPr>
      <w:r>
        <w:t xml:space="preserve">Génération automatique certificat d'inscription</w:t>
      </w:r>
    </w:p>
    <w:p>
      <w:pPr>
        <w:pStyle w:val="ListParagraph"/>
        <w:numPr>
          <w:ilvl w:val="0"/>
          <w:numId w:val="4"/>
        </w:numPr>
      </w:pPr>
      <w:r>
        <w:t xml:space="preserve">Envoi copie certificat à la SGS</w:t>
      </w:r>
    </w:p>
    <w:p>
      <w:pPr>
        <w:pStyle w:val="ListParagraph"/>
        <w:numPr>
          <w:ilvl w:val="0"/>
          <w:numId w:val="4"/>
        </w:numPr>
      </w:pPr>
      <w:r>
        <w:t xml:space="preserve">Gestion renouvellement inscription</w:t>
      </w:r>
    </w:p>
    <w:p>
      <w:pPr>
        <w:pStyle w:val="Heading2"/>
      </w:pPr>
      <w:r>
        <w:t xml:space="preserve">6.4 Module Generator Engine (E-GUCE Hub)</w:t>
      </w:r>
    </w:p>
    <w:p>
      <w:pPr>
        <w:pStyle w:val="ListParagraph"/>
        <w:numPr>
          <w:ilvl w:val="0"/>
          <w:numId w:val="4"/>
        </w:numPr>
      </w:pPr>
      <w:r>
        <w:t xml:space="preserve">Templates procédures DI (classique, groupage, médicaments, transit)</w:t>
      </w:r>
    </w:p>
    <w:p>
      <w:pPr>
        <w:pStyle w:val="ListParagraph"/>
        <w:numPr>
          <w:ilvl w:val="0"/>
          <w:numId w:val="4"/>
        </w:numPr>
      </w:pPr>
      <w:r>
        <w:t xml:space="preserve">Templates procédure FIMEX (inscription, renouvellement)</w:t>
      </w:r>
    </w:p>
    <w:p>
      <w:pPr>
        <w:pStyle w:val="ListParagraph"/>
        <w:numPr>
          <w:ilvl w:val="0"/>
          <w:numId w:val="4"/>
        </w:numPr>
      </w:pPr>
      <w:r>
        <w:t xml:space="preserve">Génération code Spring Boot depuis BPMN Camunda</w:t>
      </w:r>
    </w:p>
    <w:p>
      <w:pPr>
        <w:pStyle w:val="ListParagraph"/>
        <w:numPr>
          <w:ilvl w:val="0"/>
          <w:numId w:val="4"/>
        </w:numPr>
      </w:pPr>
      <w:r>
        <w:t xml:space="preserve">Tables de décision Drools pour règles métier (routage SGS/Douane)</w:t>
      </w:r>
    </w:p>
    <w:p>
      <w:pPr>
        <w:pStyle w:val="ListParagraph"/>
        <w:numPr>
          <w:ilvl w:val="0"/>
          <w:numId w:val="4"/>
        </w:numPr>
      </w:pPr>
      <w:r>
        <w:t xml:space="preserve">Formulaires FormIO avec validation selon dictionnaire de données</w:t>
      </w:r>
    </w:p>
    <w:p>
      <w:r>
        <w:br w:type="page"/>
      </w:r>
    </w:p>
    <w:p>
      <w:pPr>
        <w:pStyle w:val="Heading1"/>
      </w:pPr>
      <w:r>
        <w:t xml:space="preserve">7. ÉTATS STATISTIQUES REQUIS</w:t>
      </w:r>
    </w:p>
    <w:p>
      <w:pPr>
        <w:pStyle w:val="Heading2"/>
      </w:pPr>
      <w:r>
        <w:t xml:space="preserve">7.1 Statistiques Déclaration d'Importation</w:t>
      </w:r>
    </w:p>
    <w:p>
      <w:pPr>
        <w:pStyle w:val="ListParagraph"/>
        <w:numPr>
          <w:ilvl w:val="0"/>
          <w:numId w:val="2"/>
        </w:numPr>
      </w:pPr>
      <w:r>
        <w:t xml:space="preserve">Nombre de DI par type (SGS vs Douane) par période</w:t>
      </w:r>
    </w:p>
    <w:p>
      <w:pPr>
        <w:pStyle w:val="ListParagraph"/>
        <w:numPr>
          <w:ilvl w:val="0"/>
          <w:numId w:val="2"/>
        </w:numPr>
      </w:pPr>
      <w:r>
        <w:t xml:space="preserve">Valeur totale FOB importée par pays d'origine</w:t>
      </w:r>
    </w:p>
    <w:p>
      <w:pPr>
        <w:pStyle w:val="ListParagraph"/>
        <w:numPr>
          <w:ilvl w:val="0"/>
          <w:numId w:val="2"/>
        </w:numPr>
      </w:pPr>
      <w:r>
        <w:t xml:space="preserve">Répartition par mode de transport (Maritime, Aérien, Routier, Ferroviaire)</w:t>
      </w:r>
    </w:p>
    <w:p>
      <w:pPr>
        <w:pStyle w:val="ListParagraph"/>
        <w:numPr>
          <w:ilvl w:val="0"/>
          <w:numId w:val="2"/>
        </w:numPr>
      </w:pPr>
      <w:r>
        <w:t xml:space="preserve">Montant total taxes perçues (SGS + Douane + Timbre fiscal)</w:t>
      </w:r>
    </w:p>
    <w:p>
      <w:pPr>
        <w:pStyle w:val="ListParagraph"/>
        <w:numPr>
          <w:ilvl w:val="0"/>
          <w:numId w:val="2"/>
        </w:numPr>
      </w:pPr>
      <w:r>
        <w:t xml:space="preserve">Délai moyen de traitement des DI</w:t>
      </w:r>
    </w:p>
    <w:p>
      <w:pPr>
        <w:pStyle w:val="ListParagraph"/>
        <w:numPr>
          <w:ilvl w:val="0"/>
          <w:numId w:val="2"/>
        </w:numPr>
      </w:pPr>
      <w:r>
        <w:t xml:space="preserve">Taux de prorogation et modification des DI</w:t>
      </w:r>
    </w:p>
    <w:p>
      <w:pPr>
        <w:pStyle w:val="Heading2"/>
      </w:pPr>
      <w:r>
        <w:t xml:space="preserve">7.2 Statistiques FIMEX</w:t>
      </w:r>
    </w:p>
    <w:p>
      <w:pPr>
        <w:pStyle w:val="ListParagraph"/>
        <w:numPr>
          <w:ilvl w:val="0"/>
          <w:numId w:val="2"/>
        </w:numPr>
      </w:pPr>
      <w:r>
        <w:t xml:space="preserve">Nombre d'inscriptions en instance par type de produits exportés</w:t>
      </w:r>
    </w:p>
    <w:p>
      <w:pPr>
        <w:pStyle w:val="ListParagraph"/>
        <w:numPr>
          <w:ilvl w:val="0"/>
          <w:numId w:val="2"/>
        </w:numPr>
      </w:pPr>
      <w:r>
        <w:t xml:space="preserve">Répartition par secteur d'activité et chiffre d'affaires</w:t>
      </w:r>
    </w:p>
    <w:p>
      <w:pPr>
        <w:pStyle w:val="ListParagraph"/>
        <w:numPr>
          <w:ilvl w:val="0"/>
          <w:numId w:val="2"/>
        </w:numPr>
      </w:pPr>
      <w:r>
        <w:t xml:space="preserve">Répartition par région de l'exportateur</w:t>
      </w:r>
    </w:p>
    <w:p>
      <w:pPr>
        <w:pStyle w:val="ListParagraph"/>
        <w:numPr>
          <w:ilvl w:val="0"/>
          <w:numId w:val="2"/>
        </w:numPr>
      </w:pPr>
      <w:r>
        <w:t xml:space="preserve">Liste des inscriptions avec délai de traitement dépassé</w:t>
      </w:r>
    </w:p>
    <w:p>
      <w:pPr>
        <w:pStyle w:val="ListParagraph"/>
        <w:numPr>
          <w:ilvl w:val="0"/>
          <w:numId w:val="2"/>
        </w:numPr>
      </w:pPr>
      <w:r>
        <w:t xml:space="preserve">Taux d'inscription (validées / rejetées)</w:t>
      </w:r>
    </w:p>
    <w:p>
      <w:pPr>
        <w:pStyle w:val="ListParagraph"/>
        <w:numPr>
          <w:ilvl w:val="0"/>
          <w:numId w:val="2"/>
        </w:numPr>
      </w:pPr>
      <w:r>
        <w:t xml:space="preserve">Durée moyenne de traitement d'une inscription</w:t>
      </w:r>
    </w:p>
    <w:p>
      <w:pPr>
        <w:spacing w:before="400"/>
      </w:pP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b/>
          <w:bCs/>
          <w:color w:val="1B4F72"/>
          <w:sz w:val="24"/>
          <w:szCs w:val="24"/>
        </w:rPr>
        <w:t xml:space="preserve">FIN DU DOCUMENT - VERSION ENRICHIE V2.0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Basé sur l'analyse des dossiers DA_Déclaration_Importation, DA_Transaction_Import, DA_FIMEX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PROMPT ANALYSE CODE E-GUCE 3G - VERSION ENRICHIE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b/>
      <w:bCs/>
      <w:color w:val="1B4F72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2025-11-29T23:34:31.074Z</dcterms:created>
  <dcterms:modified xsi:type="dcterms:W3CDTF">2025-11-29T23:34:31.075Z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