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C621E" w14:textId="77777777" w:rsidR="00677C22" w:rsidRDefault="004D052E">
      <w:pPr>
        <w:spacing w:after="200"/>
        <w:jc w:val="center"/>
      </w:pPr>
      <w:r>
        <w:rPr>
          <w:sz w:val="44"/>
          <w:szCs w:val="44"/>
        </w:rPr>
        <w:t>Atomix: An AI-Assisted, Quantity-Aware Virtual Chemistry Laboratory for VR and Desktop Learning</w:t>
      </w:r>
    </w:p>
    <w:tbl>
      <w:tblPr>
        <w:tblW w:w="104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610"/>
        <w:gridCol w:w="2610"/>
        <w:gridCol w:w="2610"/>
        <w:gridCol w:w="2610"/>
      </w:tblGrid>
      <w:tr w:rsidR="00677C22" w14:paraId="7F70D226" w14:textId="77777777">
        <w:tblPrEx>
          <w:tblCellMar>
            <w:top w:w="0" w:type="dxa"/>
            <w:bottom w:w="0" w:type="dxa"/>
          </w:tblCellMar>
        </w:tblPrEx>
        <w:tc>
          <w:tcPr>
            <w:tcW w:w="2610" w:type="dxa"/>
            <w:tcBorders>
              <w:top w:val="none" w:sz="0" w:space="0" w:color="FFFFFF"/>
              <w:left w:val="none" w:sz="0" w:space="0" w:color="FFFFFF"/>
              <w:bottom w:val="none" w:sz="0" w:space="0" w:color="FFFFFF"/>
              <w:right w:val="none" w:sz="0" w:space="0" w:color="FFFFFF"/>
            </w:tcBorders>
          </w:tcPr>
          <w:p w14:paraId="12BCC423" w14:textId="77777777" w:rsidR="00677C22" w:rsidRDefault="004D052E">
            <w:pPr>
              <w:jc w:val="center"/>
            </w:pPr>
            <w:r>
              <w:rPr>
                <w:sz w:val="22"/>
                <w:szCs w:val="22"/>
              </w:rPr>
              <w:t>Kushal D. Soni</w:t>
            </w:r>
          </w:p>
          <w:p w14:paraId="6EBD1EC5" w14:textId="77777777" w:rsidR="00677C22" w:rsidRDefault="004D052E">
            <w:pPr>
              <w:jc w:val="center"/>
            </w:pPr>
            <w:r>
              <w:rPr>
                <w:i/>
                <w:iCs/>
                <w:sz w:val="18"/>
                <w:szCs w:val="18"/>
              </w:rPr>
              <w:t>Dept. of Computer Engineering</w:t>
            </w:r>
          </w:p>
          <w:p w14:paraId="68526446" w14:textId="77777777" w:rsidR="00677C22" w:rsidRDefault="004D052E">
            <w:pPr>
              <w:jc w:val="center"/>
            </w:pPr>
            <w:r>
              <w:rPr>
                <w:sz w:val="18"/>
                <w:szCs w:val="18"/>
              </w:rPr>
              <w:t>K. J. Somaiya Institute of Technology</w:t>
            </w:r>
          </w:p>
          <w:p w14:paraId="3BDDC33F" w14:textId="77777777" w:rsidR="00677C22" w:rsidRDefault="004D052E">
            <w:pPr>
              <w:jc w:val="center"/>
            </w:pPr>
            <w:r>
              <w:rPr>
                <w:sz w:val="18"/>
                <w:szCs w:val="18"/>
              </w:rPr>
              <w:t>Mumbai, India</w:t>
            </w:r>
          </w:p>
          <w:p w14:paraId="45981E5B" w14:textId="77777777" w:rsidR="00677C22" w:rsidRDefault="004D052E">
            <w:pPr>
              <w:jc w:val="center"/>
            </w:pPr>
            <w:r>
              <w:rPr>
                <w:sz w:val="18"/>
                <w:szCs w:val="18"/>
              </w:rPr>
              <w:t>kushal.soni@somaiya.edu</w:t>
            </w:r>
          </w:p>
        </w:tc>
        <w:tc>
          <w:tcPr>
            <w:tcW w:w="2610" w:type="dxa"/>
            <w:tcBorders>
              <w:top w:val="none" w:sz="0" w:space="0" w:color="FFFFFF"/>
              <w:left w:val="none" w:sz="0" w:space="0" w:color="FFFFFF"/>
              <w:bottom w:val="none" w:sz="0" w:space="0" w:color="FFFFFF"/>
              <w:right w:val="none" w:sz="0" w:space="0" w:color="FFFFFF"/>
            </w:tcBorders>
          </w:tcPr>
          <w:p w14:paraId="77D1540F" w14:textId="77777777" w:rsidR="00677C22" w:rsidRDefault="004D052E">
            <w:pPr>
              <w:jc w:val="center"/>
            </w:pPr>
            <w:r>
              <w:rPr>
                <w:sz w:val="22"/>
                <w:szCs w:val="22"/>
              </w:rPr>
              <w:t>Dhir M. Thakar</w:t>
            </w:r>
          </w:p>
          <w:p w14:paraId="3492BCD6" w14:textId="77777777" w:rsidR="00677C22" w:rsidRDefault="004D052E">
            <w:pPr>
              <w:jc w:val="center"/>
            </w:pPr>
            <w:r>
              <w:rPr>
                <w:i/>
                <w:iCs/>
                <w:sz w:val="18"/>
                <w:szCs w:val="18"/>
              </w:rPr>
              <w:t>Dept. of Computer Engineering</w:t>
            </w:r>
          </w:p>
          <w:p w14:paraId="7C631B1B" w14:textId="77777777" w:rsidR="00677C22" w:rsidRDefault="004D052E">
            <w:pPr>
              <w:jc w:val="center"/>
            </w:pPr>
            <w:r>
              <w:rPr>
                <w:sz w:val="18"/>
                <w:szCs w:val="18"/>
              </w:rPr>
              <w:t>K. J. Somaiya Institute of Technology</w:t>
            </w:r>
          </w:p>
          <w:p w14:paraId="0113D1F3" w14:textId="77777777" w:rsidR="00677C22" w:rsidRDefault="004D052E">
            <w:pPr>
              <w:jc w:val="center"/>
            </w:pPr>
            <w:r>
              <w:rPr>
                <w:sz w:val="18"/>
                <w:szCs w:val="18"/>
              </w:rPr>
              <w:t>Mumbai, India</w:t>
            </w:r>
          </w:p>
          <w:p w14:paraId="706A038F" w14:textId="77777777" w:rsidR="00677C22" w:rsidRDefault="004D052E">
            <w:pPr>
              <w:jc w:val="center"/>
            </w:pPr>
            <w:r>
              <w:rPr>
                <w:sz w:val="18"/>
                <w:szCs w:val="18"/>
              </w:rPr>
              <w:t>dhir.thakar@somaiya.edu</w:t>
            </w:r>
          </w:p>
        </w:tc>
        <w:tc>
          <w:tcPr>
            <w:tcW w:w="2610" w:type="dxa"/>
            <w:tcBorders>
              <w:top w:val="none" w:sz="0" w:space="0" w:color="FFFFFF"/>
              <w:left w:val="none" w:sz="0" w:space="0" w:color="FFFFFF"/>
              <w:bottom w:val="none" w:sz="0" w:space="0" w:color="FFFFFF"/>
              <w:right w:val="none" w:sz="0" w:space="0" w:color="FFFFFF"/>
            </w:tcBorders>
          </w:tcPr>
          <w:p w14:paraId="2E176C34" w14:textId="77777777" w:rsidR="00677C22" w:rsidRDefault="004D052E">
            <w:pPr>
              <w:jc w:val="center"/>
            </w:pPr>
            <w:r>
              <w:rPr>
                <w:sz w:val="22"/>
                <w:szCs w:val="22"/>
              </w:rPr>
              <w:t>Kartik R. Verma</w:t>
            </w:r>
          </w:p>
          <w:p w14:paraId="539ED172" w14:textId="77777777" w:rsidR="00677C22" w:rsidRDefault="004D052E">
            <w:pPr>
              <w:jc w:val="center"/>
            </w:pPr>
            <w:r>
              <w:rPr>
                <w:i/>
                <w:iCs/>
                <w:sz w:val="18"/>
                <w:szCs w:val="18"/>
              </w:rPr>
              <w:t>Dept. of Computer Engineering</w:t>
            </w:r>
          </w:p>
          <w:p w14:paraId="0ED5D1FE" w14:textId="77777777" w:rsidR="00677C22" w:rsidRDefault="004D052E">
            <w:pPr>
              <w:jc w:val="center"/>
            </w:pPr>
            <w:r>
              <w:rPr>
                <w:sz w:val="18"/>
                <w:szCs w:val="18"/>
              </w:rPr>
              <w:t>K. J. Somaiya Institute of Technology</w:t>
            </w:r>
          </w:p>
          <w:p w14:paraId="3BE5AD01" w14:textId="77777777" w:rsidR="00677C22" w:rsidRDefault="004D052E">
            <w:pPr>
              <w:jc w:val="center"/>
            </w:pPr>
            <w:r>
              <w:rPr>
                <w:sz w:val="18"/>
                <w:szCs w:val="18"/>
              </w:rPr>
              <w:t>Mumbai, India</w:t>
            </w:r>
          </w:p>
          <w:p w14:paraId="752ACDE3" w14:textId="77777777" w:rsidR="00677C22" w:rsidRDefault="004D052E">
            <w:pPr>
              <w:jc w:val="center"/>
            </w:pPr>
            <w:r>
              <w:rPr>
                <w:sz w:val="18"/>
                <w:szCs w:val="18"/>
              </w:rPr>
              <w:t>kartik.verma@somaiya.edu</w:t>
            </w:r>
          </w:p>
        </w:tc>
        <w:tc>
          <w:tcPr>
            <w:tcW w:w="2610" w:type="dxa"/>
            <w:tcBorders>
              <w:top w:val="none" w:sz="0" w:space="0" w:color="FFFFFF"/>
              <w:left w:val="none" w:sz="0" w:space="0" w:color="FFFFFF"/>
              <w:bottom w:val="none" w:sz="0" w:space="0" w:color="FFFFFF"/>
              <w:right w:val="none" w:sz="0" w:space="0" w:color="FFFFFF"/>
            </w:tcBorders>
          </w:tcPr>
          <w:p w14:paraId="06296518" w14:textId="77777777" w:rsidR="00677C22" w:rsidRDefault="004D052E">
            <w:pPr>
              <w:jc w:val="center"/>
            </w:pPr>
            <w:r>
              <w:rPr>
                <w:sz w:val="22"/>
                <w:szCs w:val="22"/>
              </w:rPr>
              <w:t>Dr. Madhura Phadke</w:t>
            </w:r>
          </w:p>
          <w:p w14:paraId="7D180549" w14:textId="77777777" w:rsidR="00677C22" w:rsidRDefault="004D052E">
            <w:pPr>
              <w:jc w:val="center"/>
            </w:pPr>
            <w:r>
              <w:rPr>
                <w:i/>
                <w:iCs/>
                <w:sz w:val="18"/>
                <w:szCs w:val="18"/>
              </w:rPr>
              <w:t>Dept. of Computer Engineering</w:t>
            </w:r>
          </w:p>
          <w:p w14:paraId="1D8FAADF" w14:textId="77777777" w:rsidR="00677C22" w:rsidRDefault="004D052E">
            <w:pPr>
              <w:jc w:val="center"/>
            </w:pPr>
            <w:r>
              <w:rPr>
                <w:sz w:val="18"/>
                <w:szCs w:val="18"/>
              </w:rPr>
              <w:t>K. J. Somaiya Institute of Technology</w:t>
            </w:r>
          </w:p>
          <w:p w14:paraId="2B9AEF7A" w14:textId="77777777" w:rsidR="00677C22" w:rsidRDefault="004D052E">
            <w:pPr>
              <w:jc w:val="center"/>
            </w:pPr>
            <w:r>
              <w:rPr>
                <w:sz w:val="18"/>
                <w:szCs w:val="18"/>
              </w:rPr>
              <w:t>Mumbai, India</w:t>
            </w:r>
          </w:p>
          <w:p w14:paraId="71E1D337" w14:textId="77777777" w:rsidR="00677C22" w:rsidRDefault="004D052E">
            <w:pPr>
              <w:jc w:val="center"/>
            </w:pPr>
            <w:r>
              <w:rPr>
                <w:sz w:val="18"/>
                <w:szCs w:val="18"/>
              </w:rPr>
              <w:t>madhura.phadke@somaiya.edu</w:t>
            </w:r>
          </w:p>
        </w:tc>
      </w:tr>
    </w:tbl>
    <w:p w14:paraId="263AEEAC" w14:textId="77777777" w:rsidR="00677C22" w:rsidRDefault="00677C22">
      <w:pPr>
        <w:spacing w:after="120"/>
      </w:pPr>
    </w:p>
    <w:p w14:paraId="3DE3017E" w14:textId="77777777" w:rsidR="00677C22" w:rsidRDefault="00677C22">
      <w:pPr>
        <w:sectPr w:rsidR="00677C22">
          <w:pgSz w:w="12240" w:h="15840"/>
          <w:pgMar w:top="1080" w:right="900" w:bottom="1440" w:left="900" w:header="708" w:footer="708" w:gutter="0"/>
          <w:cols w:space="720"/>
          <w:docGrid w:linePitch="360"/>
        </w:sectPr>
      </w:pPr>
    </w:p>
    <w:p w14:paraId="48BD23C7" w14:textId="77777777" w:rsidR="00677C22" w:rsidRDefault="004D052E">
      <w:pPr>
        <w:spacing w:after="80"/>
        <w:jc w:val="both"/>
      </w:pPr>
      <w:r>
        <w:rPr>
          <w:b/>
          <w:bCs/>
          <w:i/>
          <w:iCs/>
          <w:sz w:val="18"/>
          <w:szCs w:val="18"/>
        </w:rPr>
        <w:t>Abstract</w:t>
      </w:r>
      <w:r>
        <w:rPr>
          <w:b/>
          <w:bCs/>
          <w:sz w:val="18"/>
          <w:szCs w:val="18"/>
        </w:rPr>
        <w:t>—Students learn chemistry by linking what they see in a laboratory to molecular events and symbolic equations, yet they get little safe, repeatable practice and rarely receive specific explanations of their mistakes. Virtual laboratories, immersive VR, game-based learning and AI chatbots each address part of this problem but are usually used in isolation, judge experiments as fixed click sequences, and offer help that is unaware of the learner's actions. We present Atomix, a Unity 6 virtual chemistry labora</w:t>
      </w:r>
      <w:r>
        <w:rPr>
          <w:b/>
          <w:bCs/>
          <w:sz w:val="18"/>
          <w:szCs w:val="18"/>
        </w:rPr>
        <w:t>tory that runs on Meta Quest/OpenXR headsets and, through a run-time-injected keyboard-and-mouse mode, on ordinary Windows PCs. A data-driven free-hand reaction engine judges eight inorganic experiments by order of addition, instant overdose, underdose after a 1.5 s settling period and heating procedure, with per-reaction tolerances of 5-15 % scaled by three difficulty levels, and rates each success with a minimum-reagent accuracy score and stars. Live 3D molecular animations, a context-aware AI assistant w</w:t>
      </w:r>
      <w:r>
        <w:rPr>
          <w:b/>
          <w:bCs/>
          <w:sz w:val="18"/>
          <w:szCs w:val="18"/>
        </w:rPr>
        <w:t>ith a grounded offline fallback, a 300-attempt history, thermodynamic graphs and a randomized 18-task assessment with a coin economy complete the learning cycle. The prototype comprises 110 C# scripts (39,601 lines), compiles without errors and passed 111/111, 167/167, 226/226 and 22/22 automated checks executed on the shipped logic.</w:t>
      </w:r>
    </w:p>
    <w:p w14:paraId="1B125D71" w14:textId="77777777" w:rsidR="00677C22" w:rsidRDefault="004D052E">
      <w:pPr>
        <w:spacing w:after="120"/>
        <w:jc w:val="both"/>
      </w:pPr>
      <w:r>
        <w:rPr>
          <w:b/>
          <w:bCs/>
          <w:i/>
          <w:iCs/>
          <w:sz w:val="18"/>
          <w:szCs w:val="18"/>
        </w:rPr>
        <w:t>Keywords</w:t>
      </w:r>
      <w:r>
        <w:rPr>
          <w:b/>
          <w:bCs/>
          <w:sz w:val="18"/>
          <w:szCs w:val="18"/>
        </w:rPr>
        <w:t>—virtual chemistry laboratory, virtual reality, conversational AI, game-based learning, Unity, educational technology</w:t>
      </w:r>
    </w:p>
    <w:p w14:paraId="2A976ADB" w14:textId="77777777" w:rsidR="00677C22" w:rsidRDefault="004D052E">
      <w:pPr>
        <w:keepNext/>
        <w:spacing w:before="160" w:after="80"/>
        <w:jc w:val="center"/>
      </w:pPr>
      <w:r>
        <w:rPr>
          <w:smallCaps/>
        </w:rPr>
        <w:t>I. Introduction</w:t>
      </w:r>
    </w:p>
    <w:p w14:paraId="0DEB0CE2" w14:textId="77777777" w:rsidR="00677C22" w:rsidRDefault="004D052E">
      <w:pPr>
        <w:ind w:firstLine="288"/>
        <w:jc w:val="both"/>
      </w:pPr>
      <w:r>
        <w:t>Chemistry is understood at three linked levels: the macroscopic change seen in the test tube, the sub-microscopic world of atoms and bonds, and the symbolic level of formulas and equations [9]. Learners find the transitions between these levels difficult because the molecular level is never directly observed [10]. Practical laboratory time is also constrained by reagent cost, apparatus, supervision and safety: reactions such as sodium or potassium with water cannot be practised freely by students.</w:t>
      </w:r>
    </w:p>
    <w:p w14:paraId="0D59EBDB" w14:textId="77777777" w:rsidR="00677C22" w:rsidRDefault="004D052E">
      <w:pPr>
        <w:ind w:firstLine="288"/>
        <w:jc w:val="both"/>
      </w:pPr>
      <w:r>
        <w:t>Technology-enhanced learning has approached the problem from several directions. Virtual laboratories allow repetition and preparation [1], [12]; puzzle games and gamified activities raise motivation [2], [3], [11]; VR and immersive visualization make processes and molecules tangible [4], [5], [13]; and AI chatbots answer learners' questions in natural language [7], [14]. A randomized pilot study warns, however, that immersion must be judged by its effect on outcomes rather than assumed to help [6], and rev</w:t>
      </w:r>
      <w:r>
        <w:t>iews of educational games stress structured evaluation [8].</w:t>
      </w:r>
    </w:p>
    <w:p w14:paraId="4DB9FB69" w14:textId="77777777" w:rsidR="00677C22" w:rsidRDefault="004D052E">
      <w:pPr>
        <w:ind w:firstLine="288"/>
        <w:jc w:val="both"/>
      </w:pPr>
      <w:r>
        <w:t>Three gaps motivate this work. First, the strands above are rarely combined in one learning flow. Second, simulations typically trigger a reaction when the right objects touch, so they cannot judge how much reagent was used, in which order, or for how long a sample was heated, and therefore cannot explain realistic mistakes. Third, chatbots do not know what the learner has just done and become unavailable without internet access.</w:t>
      </w:r>
    </w:p>
    <w:p w14:paraId="72EED697" w14:textId="77777777" w:rsidR="00677C22" w:rsidRDefault="004D052E">
      <w:pPr>
        <w:ind w:firstLine="288"/>
        <w:jc w:val="both"/>
      </w:pPr>
      <w:r>
        <w:t>This paper presents Atomix, a virtual chemistry laboratory that integrates quantity-aware free-hand experimentation, molecular visualization, a context-aware AI assistant with an offline fallback, attempt history, thermodynamic analysis and randomized assessment, available both in VR and on a desktop. Our contributions are: (i) a reusable, data-driven reaction-evaluation engine with tolerance-based overdose, underdose, order and procedure checks and a settling rule; (ii) a minimum-reagent accuracy model for</w:t>
      </w:r>
      <w:r>
        <w:t xml:space="preserve"> fair star ratings across difficulty levels; (iii) a dual-path assistant whose offline brain answers from live measurements; and (iv) an implementation verified by compilation and automated checks.</w:t>
      </w:r>
    </w:p>
    <w:p w14:paraId="4FAB4AD4" w14:textId="77777777" w:rsidR="00677C22" w:rsidRDefault="004D052E">
      <w:pPr>
        <w:keepNext/>
        <w:spacing w:before="160" w:after="80"/>
        <w:jc w:val="center"/>
      </w:pPr>
      <w:r>
        <w:rPr>
          <w:smallCaps/>
        </w:rPr>
        <w:t>II. Related Work</w:t>
      </w:r>
    </w:p>
    <w:p w14:paraId="7962771C" w14:textId="77777777" w:rsidR="00677C22" w:rsidRDefault="004D052E">
      <w:pPr>
        <w:ind w:firstLine="288"/>
        <w:jc w:val="both"/>
      </w:pPr>
      <w:r>
        <w:t xml:space="preserve">Ramos </w:t>
      </w:r>
      <w:r>
        <w:rPr>
          <w:i/>
          <w:iCs/>
        </w:rPr>
        <w:t>et al.</w:t>
      </w:r>
      <w:r>
        <w:t xml:space="preserve"> [1] argued that virtual laboratories are most valuable as complements that prepare students for hands-on work, and Ali and Ullah [12] found wide variation among virtual chemistry laboratories in realism, feedback and assessment. Agarwal and Saha [2] taught molecule formation through a puzzle game, Sanchez-Lopez </w:t>
      </w:r>
      <w:r>
        <w:rPr>
          <w:i/>
          <w:iCs/>
        </w:rPr>
        <w:t>et al.</w:t>
      </w:r>
      <w:r>
        <w:t xml:space="preserve"> [3] gamified laboratory teaching, and Byusa </w:t>
      </w:r>
      <w:r>
        <w:rPr>
          <w:i/>
          <w:iCs/>
        </w:rPr>
        <w:t>et al.</w:t>
      </w:r>
      <w:r>
        <w:t xml:space="preserve"> [11] concluded from a systematic review that game-based learning improves motivation and understanding when mechanics are tied to learning goals. Bell and Fogler [4] applied VR to chemical-engineering education, Luo </w:t>
      </w:r>
      <w:r>
        <w:rPr>
          <w:i/>
          <w:iCs/>
        </w:rPr>
        <w:t>et al.</w:t>
      </w:r>
      <w:r>
        <w:t xml:space="preserve"> [5] built an immersive multi-projection molecular viewer, and Alvarez Ramirez and Bueno [13] applied VR to organic chemistry. Xie </w:t>
      </w:r>
      <w:r>
        <w:rPr>
          <w:i/>
          <w:iCs/>
        </w:rPr>
        <w:t>et al.</w:t>
      </w:r>
      <w:r>
        <w:t xml:space="preserve"> [6] reported a randomized controlled pilot of immersive VR for science learning. Sandu and Gide [7] and Atmosukarto </w:t>
      </w:r>
      <w:r>
        <w:rPr>
          <w:i/>
          <w:iCs/>
        </w:rPr>
        <w:t>et al.</w:t>
      </w:r>
      <w:r>
        <w:t xml:space="preserve"> [14] studied AI chatbots in higher education and in an online chemistry course. Gilbert and Treagust [9] and Wu </w:t>
      </w:r>
      <w:r>
        <w:rPr>
          <w:i/>
          <w:iCs/>
        </w:rPr>
        <w:t>et al.</w:t>
      </w:r>
      <w:r>
        <w:t xml:space="preserve"> [10] ground the need for molecular visualization. None of these systems combines quantity-aware judging, molecular views, live-context AI and assessment across VR and desktop, which is the space Atomix occupies (Table VI).</w:t>
      </w:r>
    </w:p>
    <w:p w14:paraId="5180740B" w14:textId="77777777" w:rsidR="00677C22" w:rsidRDefault="004D052E">
      <w:pPr>
        <w:keepNext/>
        <w:spacing w:before="160" w:after="80"/>
        <w:jc w:val="center"/>
      </w:pPr>
      <w:r>
        <w:rPr>
          <w:smallCaps/>
        </w:rPr>
        <w:lastRenderedPageBreak/>
        <w:t>III. System Design</w:t>
      </w:r>
    </w:p>
    <w:p w14:paraId="47F0A209" w14:textId="77777777" w:rsidR="00677C22" w:rsidRDefault="004D052E">
      <w:pPr>
        <w:keepNext/>
        <w:spacing w:before="80" w:after="40"/>
      </w:pPr>
      <w:r>
        <w:rPr>
          <w:i/>
          <w:iCs/>
        </w:rPr>
        <w:t>A. Architecture</w:t>
      </w:r>
    </w:p>
    <w:p w14:paraId="75851D84" w14:textId="77777777" w:rsidR="00677C22" w:rsidRDefault="004D052E">
      <w:pPr>
        <w:ind w:firstLine="288"/>
        <w:jc w:val="both"/>
      </w:pPr>
      <w:r>
        <w:t xml:space="preserve">Atomix is built in Unity 6000.3.7f1 with the Built-in Render Pipeline and is organised into four scenes (main menu, practice laboratory, testing laboratory and assistant scene) and five layers (Fig. 1). The input layer uses the XR Interaction Toolkit on a headset; without one, </w:t>
      </w:r>
      <w:r>
        <w:rPr>
          <w:i/>
          <w:iCs/>
        </w:rPr>
        <w:t>DesktopBootstrap</w:t>
      </w:r>
      <w:r>
        <w:t xml:space="preserve"> uses a run-time initialisation hook to inject a first-person controller, crosshair and ray-based grabbing into the same scenes, so no scene is duplicated. A typed-input gate lets learners type questions without the keyboard moving the player. The presentation layer holds the world-space Reaction Book, the learning panel and HUD; the simulation core holds eight reaction scripts and the shared engine; the intelligence layer holds the assistant, scoring and graphs; and the persistence layer stores history, co</w:t>
      </w:r>
      <w:r>
        <w:t>ins and reports.</w:t>
      </w:r>
    </w:p>
    <w:p w14:paraId="0ECA4086" w14:textId="77777777" w:rsidR="00677C22" w:rsidRDefault="004D052E">
      <w:pPr>
        <w:keepNext/>
        <w:spacing w:before="80" w:after="40"/>
        <w:jc w:val="center"/>
      </w:pPr>
      <w:r>
        <w:rPr>
          <w:noProof/>
        </w:rPr>
        <w:drawing>
          <wp:inline distT="0" distB="0" distL="0" distR="0" wp14:anchorId="42C47404" wp14:editId="05A38CF5">
            <wp:extent cx="3095625" cy="2257425"/>
            <wp:effectExtent l="0" t="0" r="0" b="0"/>
            <wp:docPr id="1" name="fig5_1_block.png" descr="Fig. 1. Layered architecture of Atomix." title="fig5_1_blo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095625" cy="2257425"/>
                    </a:xfrm>
                    <a:prstGeom prst="rect">
                      <a:avLst/>
                    </a:prstGeom>
                  </pic:spPr>
                </pic:pic>
              </a:graphicData>
            </a:graphic>
          </wp:inline>
        </w:drawing>
      </w:r>
    </w:p>
    <w:p w14:paraId="001A19FE" w14:textId="77777777" w:rsidR="00677C22" w:rsidRDefault="004D052E">
      <w:pPr>
        <w:spacing w:after="100"/>
        <w:jc w:val="both"/>
      </w:pPr>
      <w:r>
        <w:rPr>
          <w:sz w:val="16"/>
          <w:szCs w:val="16"/>
        </w:rPr>
        <w:t>Fig. 1. Layered architecture of Atomix.</w:t>
      </w:r>
    </w:p>
    <w:p w14:paraId="0463D96D" w14:textId="77777777" w:rsidR="00677C22" w:rsidRDefault="004D052E">
      <w:pPr>
        <w:ind w:firstLine="288"/>
        <w:jc w:val="both"/>
      </w:pPr>
      <w:r>
        <w:t>Fig. 2 shows the level-1 data flow. Input handling feeds reaction selection and the evaluation engine; the engine streams live context to the assistant and verdicts to history and scoring; the assessment process issues tasks to the same engine and stores coins and settings in PlayerPrefs, while attempts and assistant exchanges are written to a JSON history file.</w:t>
      </w:r>
    </w:p>
    <w:p w14:paraId="0598EE43" w14:textId="77777777" w:rsidR="00677C22" w:rsidRDefault="004D052E">
      <w:pPr>
        <w:keepNext/>
        <w:spacing w:before="80" w:after="40"/>
        <w:jc w:val="center"/>
      </w:pPr>
      <w:r>
        <w:rPr>
          <w:noProof/>
        </w:rPr>
        <w:drawing>
          <wp:inline distT="0" distB="0" distL="0" distR="0" wp14:anchorId="6E633BC3" wp14:editId="6FF8A0D9">
            <wp:extent cx="3095625" cy="2114550"/>
            <wp:effectExtent l="0" t="0" r="0" b="0"/>
            <wp:docPr id="2" name="fig4_6_dfd1.png" descr="Fig. 2. Level-1 data-flow diagram of Atomix." title="fig4_6_df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095625" cy="2114550"/>
                    </a:xfrm>
                    <a:prstGeom prst="rect">
                      <a:avLst/>
                    </a:prstGeom>
                  </pic:spPr>
                </pic:pic>
              </a:graphicData>
            </a:graphic>
          </wp:inline>
        </w:drawing>
      </w:r>
    </w:p>
    <w:p w14:paraId="56F94303" w14:textId="77777777" w:rsidR="00677C22" w:rsidRDefault="004D052E">
      <w:pPr>
        <w:spacing w:after="100"/>
        <w:jc w:val="both"/>
      </w:pPr>
      <w:r>
        <w:rPr>
          <w:sz w:val="16"/>
          <w:szCs w:val="16"/>
        </w:rPr>
        <w:t>Fig. 2. Level-1 data-flow diagram of Atomix.</w:t>
      </w:r>
    </w:p>
    <w:p w14:paraId="338CA65F" w14:textId="77777777" w:rsidR="00677C22" w:rsidRDefault="004D052E">
      <w:pPr>
        <w:keepNext/>
        <w:spacing w:before="80" w:after="40"/>
      </w:pPr>
      <w:r>
        <w:rPr>
          <w:i/>
          <w:iCs/>
        </w:rPr>
        <w:t>B. Learning Flow</w:t>
      </w:r>
    </w:p>
    <w:p w14:paraId="35D74CE6" w14:textId="77777777" w:rsidR="00677C22" w:rsidRDefault="004D052E">
      <w:pPr>
        <w:ind w:firstLine="288"/>
        <w:jc w:val="both"/>
      </w:pPr>
      <w:r>
        <w:t>As Fig. 3 summarises, a learner opens the Reaction Book, selects one of eight reactions and a difficulty level, and chooses LEARN or PERFORM. LEARN plays a recorded molecular video or a live 3D ball-and-stick animation authored in code for all eight reactions, in which a thinning red bond is breaking, a thickening green bond is forming and a moving yellow dot is an electron being transferred; only the redox reactions show electron transfer. PERFORM enables the apparatus of that reaction only (Fig. 4). The l</w:t>
      </w:r>
      <w:r>
        <w:t>earner pours liquids by tilting vessels, adds solids and heats with a Bunsen burner while a tooltip shows live amounts. A success shows the balanced equation, accuracy and stars and unlocks graphs; a failure shows a chemistry-specific reason and can be retried with F5.</w:t>
      </w:r>
    </w:p>
    <w:p w14:paraId="1FADEAD9" w14:textId="77777777" w:rsidR="00677C22" w:rsidRDefault="004D052E">
      <w:pPr>
        <w:keepNext/>
        <w:spacing w:before="80" w:after="40"/>
        <w:jc w:val="center"/>
      </w:pPr>
      <w:r>
        <w:rPr>
          <w:noProof/>
        </w:rPr>
        <w:drawing>
          <wp:inline distT="0" distB="0" distL="0" distR="0" wp14:anchorId="303F8C29" wp14:editId="10F0C6F5">
            <wp:extent cx="3095625" cy="2781300"/>
            <wp:effectExtent l="0" t="0" r="0" b="0"/>
            <wp:docPr id="3" name="fig4_9_activity.png" descr="Fig. 3. Activity diagram of the practice, test and assistant journeys." title="fig4_9_activ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095625" cy="2781300"/>
                    </a:xfrm>
                    <a:prstGeom prst="rect">
                      <a:avLst/>
                    </a:prstGeom>
                  </pic:spPr>
                </pic:pic>
              </a:graphicData>
            </a:graphic>
          </wp:inline>
        </w:drawing>
      </w:r>
    </w:p>
    <w:p w14:paraId="6E1751C2" w14:textId="77777777" w:rsidR="00677C22" w:rsidRDefault="004D052E">
      <w:pPr>
        <w:spacing w:after="100"/>
        <w:jc w:val="both"/>
      </w:pPr>
      <w:r>
        <w:rPr>
          <w:sz w:val="16"/>
          <w:szCs w:val="16"/>
        </w:rPr>
        <w:t>Fig. 3. Activity diagram of the practice, test and assistant journeys.</w:t>
      </w:r>
    </w:p>
    <w:p w14:paraId="0FA871E5" w14:textId="77777777" w:rsidR="00677C22" w:rsidRDefault="004D052E">
      <w:pPr>
        <w:keepNext/>
        <w:spacing w:before="80" w:after="40"/>
        <w:jc w:val="center"/>
      </w:pPr>
      <w:r>
        <w:rPr>
          <w:noProof/>
        </w:rPr>
        <w:drawing>
          <wp:inline distT="0" distB="0" distL="0" distR="0" wp14:anchorId="000D521D" wp14:editId="1A13E35A">
            <wp:extent cx="3095625" cy="1752600"/>
            <wp:effectExtent l="0" t="0" r="0" b="0"/>
            <wp:docPr id="4" name="lab.jpg" descr="Fig. 4. The Atomix laboratory with the FeSO_{4} decomposition set up; the assistant explains how to light the burner." title="la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095625" cy="1752600"/>
                    </a:xfrm>
                    <a:prstGeom prst="rect">
                      <a:avLst/>
                    </a:prstGeom>
                  </pic:spPr>
                </pic:pic>
              </a:graphicData>
            </a:graphic>
          </wp:inline>
        </w:drawing>
      </w:r>
    </w:p>
    <w:p w14:paraId="4C261FC1" w14:textId="77777777" w:rsidR="00677C22" w:rsidRDefault="004D052E">
      <w:pPr>
        <w:spacing w:after="100"/>
        <w:jc w:val="both"/>
      </w:pPr>
      <w:r>
        <w:rPr>
          <w:sz w:val="16"/>
          <w:szCs w:val="16"/>
        </w:rPr>
        <w:t>Fig. 4. The Atomix laboratory with the FeSO</w:t>
      </w:r>
      <w:r>
        <w:rPr>
          <w:sz w:val="16"/>
          <w:szCs w:val="16"/>
          <w:vertAlign w:val="subscript"/>
        </w:rPr>
        <w:t>4</w:t>
      </w:r>
      <w:r>
        <w:rPr>
          <w:sz w:val="16"/>
          <w:szCs w:val="16"/>
        </w:rPr>
        <w:t xml:space="preserve"> decomposition set up; the assistant explains how to light the burner.</w:t>
      </w:r>
    </w:p>
    <w:p w14:paraId="6D9D067A" w14:textId="77777777" w:rsidR="00677C22" w:rsidRDefault="004D052E">
      <w:pPr>
        <w:ind w:firstLine="288"/>
        <w:jc w:val="both"/>
      </w:pPr>
      <w:r>
        <w:t>Fig. 5 shows the live molecular view. Atoms carry their element symbols in CPK colours, heating stages shake the molecule and warm the background, and a step counter and progress bar show the position in the sequence. The view is available before an experiment (learn-before-perform) and is replayed automatically after a success, so the macroscopic result is immediately tied to its sub-microscopic cause.</w:t>
      </w:r>
    </w:p>
    <w:p w14:paraId="3C0E6E95" w14:textId="77777777" w:rsidR="00677C22" w:rsidRDefault="004D052E">
      <w:pPr>
        <w:keepNext/>
        <w:spacing w:before="80" w:after="40"/>
        <w:jc w:val="center"/>
      </w:pPr>
      <w:r>
        <w:rPr>
          <w:noProof/>
        </w:rPr>
        <w:lastRenderedPageBreak/>
        <w:drawing>
          <wp:inline distT="0" distB="0" distL="0" distR="0" wp14:anchorId="0805ABBF" wp14:editId="5C9A7A6C">
            <wp:extent cx="2705100" cy="1428750"/>
            <wp:effectExtent l="0" t="0" r="0" b="0"/>
            <wp:docPr id="5" name="ph_3dview.png" descr="Fig. 5. Live 3D molecular animation for reaction 1 [INSERT SCREENSHOT from final build]." title="ph_3d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05100" cy="1428750"/>
                    </a:xfrm>
                    <a:prstGeom prst="rect">
                      <a:avLst/>
                    </a:prstGeom>
                  </pic:spPr>
                </pic:pic>
              </a:graphicData>
            </a:graphic>
          </wp:inline>
        </w:drawing>
      </w:r>
    </w:p>
    <w:p w14:paraId="10B51223" w14:textId="77777777" w:rsidR="00677C22" w:rsidRDefault="004D052E">
      <w:pPr>
        <w:spacing w:after="100"/>
        <w:jc w:val="both"/>
      </w:pPr>
      <w:r>
        <w:rPr>
          <w:sz w:val="16"/>
          <w:szCs w:val="16"/>
        </w:rPr>
        <w:t>Fig. 5. Live 3D molecular animation for reaction 1 [INSERT SCREENSHOT from final build].</w:t>
      </w:r>
    </w:p>
    <w:p w14:paraId="0D85918C" w14:textId="77777777" w:rsidR="00677C22" w:rsidRDefault="004D052E">
      <w:pPr>
        <w:keepNext/>
        <w:spacing w:before="80" w:after="40"/>
      </w:pPr>
      <w:r>
        <w:rPr>
          <w:i/>
          <w:iCs/>
        </w:rPr>
        <w:t>C. Implementation</w:t>
      </w:r>
    </w:p>
    <w:p w14:paraId="582D709D" w14:textId="77777777" w:rsidR="00677C22" w:rsidRDefault="004D052E">
      <w:pPr>
        <w:ind w:firstLine="288"/>
        <w:jc w:val="both"/>
      </w:pPr>
      <w:r>
        <w:t xml:space="preserve">Table I lists the principal modules. Reaction logic dominates the code base (Fig. 6) because each reaction has a laboratory script, a test-scene variant and pouring helpers. All interface and handling sounds are synthesised at run time from one D-major palette, so no audio assets are imported; grab sounds are pitched by object size and failure uses gentle falling tones because failure is the expected path while practising. Walking head-bob is off by default to avoid motion sickness, and held objects follow </w:t>
      </w:r>
      <w:r>
        <w:t>targets with the frame-rate-independent filter x ← x + (x</w:t>
      </w:r>
      <w:r>
        <w:rPr>
          <w:vertAlign w:val="subscript"/>
        </w:rPr>
        <w:t>t</w:t>
      </w:r>
      <w:r>
        <w:t xml:space="preserve"> − x)(1 − e</w:t>
      </w:r>
      <w:r>
        <w:rPr>
          <w:vertAlign w:val="superscript"/>
        </w:rPr>
        <w:t>−kΔt</w:t>
      </w:r>
      <w:r>
        <w:t>), which replaced a Lerp that behaved differently at 60 Hz and 144 Hz. Scene changes load asynchronously, and reports fall back from the Desktop to Documents to the application data path.</w:t>
      </w:r>
    </w:p>
    <w:p w14:paraId="62461F2F" w14:textId="77777777" w:rsidR="00677C22" w:rsidRDefault="004D052E">
      <w:pPr>
        <w:keepNext/>
        <w:spacing w:before="100"/>
        <w:jc w:val="center"/>
      </w:pPr>
      <w:r>
        <w:rPr>
          <w:smallCaps/>
          <w:sz w:val="16"/>
          <w:szCs w:val="16"/>
        </w:rPr>
        <w:t>TABLE I</w:t>
      </w:r>
    </w:p>
    <w:p w14:paraId="37273A59" w14:textId="77777777" w:rsidR="00677C22" w:rsidRDefault="004D052E">
      <w:pPr>
        <w:keepNext/>
        <w:spacing w:after="60"/>
        <w:jc w:val="center"/>
      </w:pPr>
      <w:r>
        <w:rPr>
          <w:smallCaps/>
          <w:sz w:val="16"/>
          <w:szCs w:val="16"/>
        </w:rPr>
        <w:t>Principal Modules</w:t>
      </w:r>
    </w:p>
    <w:tbl>
      <w:tblPr>
        <w:tblW w:w="50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280"/>
      </w:tblGrid>
      <w:tr w:rsidR="00677C22" w14:paraId="0A52E521" w14:textId="77777777">
        <w:tblPrEx>
          <w:tblCellMar>
            <w:top w:w="0" w:type="dxa"/>
            <w:bottom w:w="0" w:type="dxa"/>
          </w:tblCellMar>
        </w:tblPrEx>
        <w:trPr>
          <w:tblHeader/>
          <w:jc w:val="center"/>
        </w:trPr>
        <w:tc>
          <w:tcPr>
            <w:tcW w:w="2760" w:type="dxa"/>
            <w:tcBorders>
              <w:top w:val="single" w:sz="4" w:space="0" w:color="000000"/>
              <w:left w:val="single" w:sz="4" w:space="0" w:color="000000"/>
              <w:bottom w:val="single" w:sz="4" w:space="0" w:color="000000"/>
              <w:right w:val="single" w:sz="4" w:space="0" w:color="000000"/>
            </w:tcBorders>
            <w:shd w:val="clear" w:color="auto" w:fill="E7E6E6"/>
            <w:tcMar>
              <w:top w:w="20" w:type="dxa"/>
              <w:left w:w="50" w:type="dxa"/>
              <w:bottom w:w="20" w:type="dxa"/>
              <w:right w:w="50" w:type="dxa"/>
            </w:tcMar>
            <w:vAlign w:val="center"/>
          </w:tcPr>
          <w:p w14:paraId="76F62DDD" w14:textId="77777777" w:rsidR="00677C22" w:rsidRDefault="004D052E">
            <w:pPr>
              <w:jc w:val="center"/>
            </w:pPr>
            <w:r>
              <w:rPr>
                <w:b/>
                <w:bCs/>
                <w:sz w:val="15"/>
                <w:szCs w:val="15"/>
              </w:rPr>
              <w:t>Module</w:t>
            </w:r>
          </w:p>
        </w:tc>
        <w:tc>
          <w:tcPr>
            <w:tcW w:w="2280" w:type="dxa"/>
            <w:tcBorders>
              <w:top w:val="single" w:sz="4" w:space="0" w:color="000000"/>
              <w:left w:val="single" w:sz="4" w:space="0" w:color="000000"/>
              <w:bottom w:val="single" w:sz="4" w:space="0" w:color="000000"/>
              <w:right w:val="single" w:sz="4" w:space="0" w:color="000000"/>
            </w:tcBorders>
            <w:shd w:val="clear" w:color="auto" w:fill="E7E6E6"/>
            <w:tcMar>
              <w:top w:w="20" w:type="dxa"/>
              <w:left w:w="50" w:type="dxa"/>
              <w:bottom w:w="20" w:type="dxa"/>
              <w:right w:w="50" w:type="dxa"/>
            </w:tcMar>
            <w:vAlign w:val="center"/>
          </w:tcPr>
          <w:p w14:paraId="5D4A66B4" w14:textId="77777777" w:rsidR="00677C22" w:rsidRDefault="004D052E">
            <w:pPr>
              <w:jc w:val="center"/>
            </w:pPr>
            <w:r>
              <w:rPr>
                <w:b/>
                <w:bCs/>
                <w:sz w:val="15"/>
                <w:szCs w:val="15"/>
              </w:rPr>
              <w:t>Responsibility</w:t>
            </w:r>
          </w:p>
        </w:tc>
      </w:tr>
      <w:tr w:rsidR="00677C22" w14:paraId="5CE3044B" w14:textId="77777777">
        <w:tblPrEx>
          <w:tblCellMar>
            <w:top w:w="0" w:type="dxa"/>
            <w:bottom w:w="0" w:type="dxa"/>
          </w:tblCellMar>
        </w:tblPrEx>
        <w:trPr>
          <w:cantSplit/>
          <w:jc w:val="center"/>
        </w:trPr>
        <w:tc>
          <w:tcPr>
            <w:tcW w:w="276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292CDF62" w14:textId="77777777" w:rsidR="00677C22" w:rsidRDefault="004D052E">
            <w:pPr>
              <w:jc w:val="center"/>
            </w:pPr>
            <w:r>
              <w:rPr>
                <w:sz w:val="15"/>
                <w:szCs w:val="15"/>
              </w:rPr>
              <w:t>ControlReactions, 8 reaction scripts</w:t>
            </w:r>
          </w:p>
        </w:tc>
        <w:tc>
          <w:tcPr>
            <w:tcW w:w="228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39827583" w14:textId="77777777" w:rsidR="00677C22" w:rsidRDefault="004D052E">
            <w:pPr>
              <w:jc w:val="center"/>
            </w:pPr>
            <w:r>
              <w:rPr>
                <w:sz w:val="15"/>
                <w:szCs w:val="15"/>
              </w:rPr>
              <w:t>Selection, apparatus, effects</w:t>
            </w:r>
          </w:p>
        </w:tc>
      </w:tr>
      <w:tr w:rsidR="00677C22" w14:paraId="0CC8FF0B" w14:textId="77777777">
        <w:tblPrEx>
          <w:tblCellMar>
            <w:top w:w="0" w:type="dxa"/>
            <w:bottom w:w="0" w:type="dxa"/>
          </w:tblCellMar>
        </w:tblPrEx>
        <w:trPr>
          <w:cantSplit/>
          <w:jc w:val="center"/>
        </w:trPr>
        <w:tc>
          <w:tcPr>
            <w:tcW w:w="276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0C28AC0F" w14:textId="77777777" w:rsidR="00677C22" w:rsidRDefault="004D052E">
            <w:pPr>
              <w:jc w:val="center"/>
            </w:pPr>
            <w:r>
              <w:rPr>
                <w:sz w:val="15"/>
                <w:szCs w:val="15"/>
              </w:rPr>
              <w:t>FreeHandReactionEngine (1,264 lines)</w:t>
            </w:r>
          </w:p>
        </w:tc>
        <w:tc>
          <w:tcPr>
            <w:tcW w:w="228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0F5D63C4" w14:textId="77777777" w:rsidR="00677C22" w:rsidRDefault="004D052E">
            <w:pPr>
              <w:jc w:val="center"/>
            </w:pPr>
            <w:r>
              <w:rPr>
                <w:sz w:val="15"/>
                <w:szCs w:val="15"/>
              </w:rPr>
              <w:t>Order, overdose, settle, underdose</w:t>
            </w:r>
          </w:p>
        </w:tc>
      </w:tr>
      <w:tr w:rsidR="00677C22" w14:paraId="73BFDF34" w14:textId="77777777">
        <w:tblPrEx>
          <w:tblCellMar>
            <w:top w:w="0" w:type="dxa"/>
            <w:bottom w:w="0" w:type="dxa"/>
          </w:tblCellMar>
        </w:tblPrEx>
        <w:trPr>
          <w:cantSplit/>
          <w:jc w:val="center"/>
        </w:trPr>
        <w:tc>
          <w:tcPr>
            <w:tcW w:w="276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15ECFC40" w14:textId="77777777" w:rsidR="00677C22" w:rsidRDefault="004D052E">
            <w:pPr>
              <w:jc w:val="center"/>
            </w:pPr>
            <w:r>
              <w:rPr>
                <w:sz w:val="15"/>
                <w:szCs w:val="15"/>
              </w:rPr>
              <w:t>ReactionDefinition (8 assets)</w:t>
            </w:r>
          </w:p>
        </w:tc>
        <w:tc>
          <w:tcPr>
            <w:tcW w:w="228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3F95E004" w14:textId="77777777" w:rsidR="00677C22" w:rsidRDefault="004D052E">
            <w:pPr>
              <w:jc w:val="center"/>
            </w:pPr>
            <w:r>
              <w:rPr>
                <w:sz w:val="15"/>
                <w:szCs w:val="15"/>
              </w:rPr>
              <w:t>Data-driven recipes</w:t>
            </w:r>
          </w:p>
        </w:tc>
      </w:tr>
      <w:tr w:rsidR="00677C22" w14:paraId="2D38A42D" w14:textId="77777777">
        <w:tblPrEx>
          <w:tblCellMar>
            <w:top w:w="0" w:type="dxa"/>
            <w:bottom w:w="0" w:type="dxa"/>
          </w:tblCellMar>
        </w:tblPrEx>
        <w:trPr>
          <w:cantSplit/>
          <w:jc w:val="center"/>
        </w:trPr>
        <w:tc>
          <w:tcPr>
            <w:tcW w:w="276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22E2C15B" w14:textId="77777777" w:rsidR="00677C22" w:rsidRDefault="004D052E">
            <w:pPr>
              <w:jc w:val="center"/>
            </w:pPr>
            <w:r>
              <w:rPr>
                <w:sz w:val="15"/>
                <w:szCs w:val="15"/>
              </w:rPr>
              <w:t>ExperimentScoring</w:t>
            </w:r>
          </w:p>
        </w:tc>
        <w:tc>
          <w:tcPr>
            <w:tcW w:w="228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70209673" w14:textId="77777777" w:rsidR="00677C22" w:rsidRDefault="004D052E">
            <w:pPr>
              <w:jc w:val="center"/>
            </w:pPr>
            <w:r>
              <w:rPr>
                <w:sz w:val="15"/>
                <w:szCs w:val="15"/>
              </w:rPr>
              <w:t>Accuracy, stars, difficulty scale</w:t>
            </w:r>
          </w:p>
        </w:tc>
      </w:tr>
      <w:tr w:rsidR="00677C22" w14:paraId="57B6CAA5" w14:textId="77777777">
        <w:tblPrEx>
          <w:tblCellMar>
            <w:top w:w="0" w:type="dxa"/>
            <w:bottom w:w="0" w:type="dxa"/>
          </w:tblCellMar>
        </w:tblPrEx>
        <w:trPr>
          <w:cantSplit/>
          <w:jc w:val="center"/>
        </w:trPr>
        <w:tc>
          <w:tcPr>
            <w:tcW w:w="276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70FF297D" w14:textId="77777777" w:rsidR="00677C22" w:rsidRDefault="004D052E">
            <w:pPr>
              <w:jc w:val="center"/>
            </w:pPr>
            <w:r>
              <w:rPr>
                <w:sz w:val="15"/>
                <w:szCs w:val="15"/>
              </w:rPr>
              <w:t>InLabAssistantController, ContextProvider</w:t>
            </w:r>
          </w:p>
        </w:tc>
        <w:tc>
          <w:tcPr>
            <w:tcW w:w="228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07E783C5" w14:textId="77777777" w:rsidR="00677C22" w:rsidRDefault="004D052E">
            <w:pPr>
              <w:jc w:val="center"/>
            </w:pPr>
            <w:r>
              <w:rPr>
                <w:sz w:val="15"/>
                <w:szCs w:val="15"/>
              </w:rPr>
              <w:t>Questions with live context</w:t>
            </w:r>
          </w:p>
        </w:tc>
      </w:tr>
      <w:tr w:rsidR="00677C22" w14:paraId="6EE25537" w14:textId="77777777">
        <w:tblPrEx>
          <w:tblCellMar>
            <w:top w:w="0" w:type="dxa"/>
            <w:bottom w:w="0" w:type="dxa"/>
          </w:tblCellMar>
        </w:tblPrEx>
        <w:trPr>
          <w:cantSplit/>
          <w:jc w:val="center"/>
        </w:trPr>
        <w:tc>
          <w:tcPr>
            <w:tcW w:w="276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1A8910FB" w14:textId="77777777" w:rsidR="00677C22" w:rsidRDefault="004D052E">
            <w:pPr>
              <w:jc w:val="center"/>
            </w:pPr>
            <w:r>
              <w:rPr>
                <w:sz w:val="15"/>
                <w:szCs w:val="15"/>
              </w:rPr>
              <w:t>ConvaiAssistantBackend / ChemistryKnowledgeBase</w:t>
            </w:r>
          </w:p>
        </w:tc>
        <w:tc>
          <w:tcPr>
            <w:tcW w:w="228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175D3C63" w14:textId="77777777" w:rsidR="00677C22" w:rsidRDefault="004D052E">
            <w:pPr>
              <w:jc w:val="center"/>
            </w:pPr>
            <w:r>
              <w:rPr>
                <w:sz w:val="15"/>
                <w:szCs w:val="15"/>
              </w:rPr>
              <w:t>Online / offline answers</w:t>
            </w:r>
          </w:p>
        </w:tc>
      </w:tr>
      <w:tr w:rsidR="00677C22" w14:paraId="019A1E26" w14:textId="77777777">
        <w:tblPrEx>
          <w:tblCellMar>
            <w:top w:w="0" w:type="dxa"/>
            <w:bottom w:w="0" w:type="dxa"/>
          </w:tblCellMar>
        </w:tblPrEx>
        <w:trPr>
          <w:cantSplit/>
          <w:jc w:val="center"/>
        </w:trPr>
        <w:tc>
          <w:tcPr>
            <w:tcW w:w="276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7BEC021B" w14:textId="77777777" w:rsidR="00677C22" w:rsidRDefault="004D052E">
            <w:pPr>
              <w:jc w:val="center"/>
            </w:pPr>
            <w:r>
              <w:rPr>
                <w:sz w:val="15"/>
                <w:szCs w:val="15"/>
              </w:rPr>
              <w:t>MolecularSceneCatalog / Renderer</w:t>
            </w:r>
          </w:p>
        </w:tc>
        <w:tc>
          <w:tcPr>
            <w:tcW w:w="228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2819D200" w14:textId="77777777" w:rsidR="00677C22" w:rsidRDefault="004D052E">
            <w:pPr>
              <w:jc w:val="center"/>
            </w:pPr>
            <w:r>
              <w:rPr>
                <w:sz w:val="15"/>
                <w:szCs w:val="15"/>
              </w:rPr>
              <w:t>Live 3D molecular stages</w:t>
            </w:r>
          </w:p>
        </w:tc>
      </w:tr>
      <w:tr w:rsidR="00677C22" w14:paraId="6DBD22E3" w14:textId="77777777">
        <w:tblPrEx>
          <w:tblCellMar>
            <w:top w:w="0" w:type="dxa"/>
            <w:bottom w:w="0" w:type="dxa"/>
          </w:tblCellMar>
        </w:tblPrEx>
        <w:trPr>
          <w:cantSplit/>
          <w:jc w:val="center"/>
        </w:trPr>
        <w:tc>
          <w:tcPr>
            <w:tcW w:w="276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10834A9C" w14:textId="77777777" w:rsidR="00677C22" w:rsidRDefault="004D052E">
            <w:pPr>
              <w:jc w:val="center"/>
            </w:pPr>
            <w:r>
              <w:rPr>
                <w:sz w:val="15"/>
                <w:szCs w:val="15"/>
              </w:rPr>
              <w:t>ExperimentHistoryManager</w:t>
            </w:r>
          </w:p>
        </w:tc>
        <w:tc>
          <w:tcPr>
            <w:tcW w:w="228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17D1FBFF" w14:textId="77777777" w:rsidR="00677C22" w:rsidRDefault="004D052E">
            <w:pPr>
              <w:jc w:val="center"/>
            </w:pPr>
            <w:r>
              <w:rPr>
                <w:sz w:val="15"/>
                <w:szCs w:val="15"/>
              </w:rPr>
              <w:t>JSON history (300 attempts)</w:t>
            </w:r>
          </w:p>
        </w:tc>
      </w:tr>
      <w:tr w:rsidR="00677C22" w14:paraId="33CF936F" w14:textId="77777777">
        <w:tblPrEx>
          <w:tblCellMar>
            <w:top w:w="0" w:type="dxa"/>
            <w:bottom w:w="0" w:type="dxa"/>
          </w:tblCellMar>
        </w:tblPrEx>
        <w:trPr>
          <w:cantSplit/>
          <w:jc w:val="center"/>
        </w:trPr>
        <w:tc>
          <w:tcPr>
            <w:tcW w:w="276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0BF05E55" w14:textId="77777777" w:rsidR="00677C22" w:rsidRDefault="004D052E">
            <w:pPr>
              <w:jc w:val="center"/>
            </w:pPr>
            <w:r>
              <w:rPr>
                <w:sz w:val="15"/>
                <w:szCs w:val="15"/>
              </w:rPr>
              <w:t>ReactionGraphCatalog / Renderer</w:t>
            </w:r>
          </w:p>
        </w:tc>
        <w:tc>
          <w:tcPr>
            <w:tcW w:w="228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1F5FA87D" w14:textId="77777777" w:rsidR="00677C22" w:rsidRDefault="004D052E">
            <w:pPr>
              <w:jc w:val="center"/>
            </w:pPr>
            <w:r>
              <w:rPr>
                <w:sz w:val="15"/>
                <w:szCs w:val="15"/>
              </w:rPr>
              <w:t>ΔH, E</w:t>
            </w:r>
            <w:r>
              <w:rPr>
                <w:sz w:val="15"/>
                <w:szCs w:val="15"/>
                <w:vertAlign w:val="subscript"/>
              </w:rPr>
              <w:t>a</w:t>
            </w:r>
            <w:r>
              <w:rPr>
                <w:sz w:val="15"/>
                <w:szCs w:val="15"/>
              </w:rPr>
              <w:t>, ΔS, ΔG graphs</w:t>
            </w:r>
          </w:p>
        </w:tc>
      </w:tr>
      <w:tr w:rsidR="00677C22" w14:paraId="77C84349" w14:textId="77777777">
        <w:tblPrEx>
          <w:tblCellMar>
            <w:top w:w="0" w:type="dxa"/>
            <w:bottom w:w="0" w:type="dxa"/>
          </w:tblCellMar>
        </w:tblPrEx>
        <w:trPr>
          <w:cantSplit/>
          <w:jc w:val="center"/>
        </w:trPr>
        <w:tc>
          <w:tcPr>
            <w:tcW w:w="276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3D57E2DD" w14:textId="77777777" w:rsidR="00677C22" w:rsidRDefault="004D052E">
            <w:pPr>
              <w:jc w:val="center"/>
            </w:pPr>
            <w:r>
              <w:rPr>
                <w:sz w:val="15"/>
                <w:szCs w:val="15"/>
              </w:rPr>
              <w:t>ExamSession, AtomixCoinBank, ReportExporter</w:t>
            </w:r>
          </w:p>
        </w:tc>
        <w:tc>
          <w:tcPr>
            <w:tcW w:w="228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6FA71472" w14:textId="77777777" w:rsidR="00677C22" w:rsidRDefault="004D052E">
            <w:pPr>
              <w:jc w:val="center"/>
            </w:pPr>
            <w:r>
              <w:rPr>
                <w:sz w:val="15"/>
                <w:szCs w:val="15"/>
              </w:rPr>
              <w:t>Assessment, coins, HTML/CSV</w:t>
            </w:r>
          </w:p>
        </w:tc>
      </w:tr>
      <w:tr w:rsidR="00677C22" w14:paraId="0FC85907" w14:textId="77777777">
        <w:tblPrEx>
          <w:tblCellMar>
            <w:top w:w="0" w:type="dxa"/>
            <w:bottom w:w="0" w:type="dxa"/>
          </w:tblCellMar>
        </w:tblPrEx>
        <w:trPr>
          <w:cantSplit/>
          <w:jc w:val="center"/>
        </w:trPr>
        <w:tc>
          <w:tcPr>
            <w:tcW w:w="276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58CA3AAF" w14:textId="77777777" w:rsidR="00677C22" w:rsidRDefault="004D052E">
            <w:pPr>
              <w:jc w:val="center"/>
            </w:pPr>
            <w:r>
              <w:rPr>
                <w:sz w:val="15"/>
                <w:szCs w:val="15"/>
              </w:rPr>
              <w:t>DesktopBootstrap, FirstPersonController</w:t>
            </w:r>
          </w:p>
        </w:tc>
        <w:tc>
          <w:tcPr>
            <w:tcW w:w="228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613A2C74" w14:textId="77777777" w:rsidR="00677C22" w:rsidRDefault="004D052E">
            <w:pPr>
              <w:jc w:val="center"/>
            </w:pPr>
            <w:r>
              <w:rPr>
                <w:sz w:val="15"/>
                <w:szCs w:val="15"/>
              </w:rPr>
              <w:t>Run-time desktop mode</w:t>
            </w:r>
          </w:p>
        </w:tc>
      </w:tr>
    </w:tbl>
    <w:p w14:paraId="140C10D3" w14:textId="77777777" w:rsidR="00677C22" w:rsidRDefault="00677C22">
      <w:pPr>
        <w:spacing w:after="80"/>
      </w:pPr>
    </w:p>
    <w:p w14:paraId="2DEE39BB" w14:textId="77777777" w:rsidR="00677C22" w:rsidRDefault="004D052E">
      <w:pPr>
        <w:keepNext/>
        <w:spacing w:before="80" w:after="40"/>
        <w:jc w:val="center"/>
      </w:pPr>
      <w:r>
        <w:rPr>
          <w:noProof/>
        </w:rPr>
        <w:drawing>
          <wp:inline distT="0" distB="0" distL="0" distR="0" wp14:anchorId="2D57662F" wp14:editId="0CF7DE63">
            <wp:extent cx="3095625" cy="1295400"/>
            <wp:effectExtent l="0" t="0" r="0" b="0"/>
            <wp:docPr id="6" name="fig6_loc.png" descr="Fig. 6. Distribution of the 39,601 lines of C# across subsystems." title="fig6_lo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095625" cy="1295400"/>
                    </a:xfrm>
                    <a:prstGeom prst="rect">
                      <a:avLst/>
                    </a:prstGeom>
                  </pic:spPr>
                </pic:pic>
              </a:graphicData>
            </a:graphic>
          </wp:inline>
        </w:drawing>
      </w:r>
    </w:p>
    <w:p w14:paraId="272994ED" w14:textId="77777777" w:rsidR="00677C22" w:rsidRDefault="004D052E">
      <w:pPr>
        <w:spacing w:after="100"/>
        <w:jc w:val="both"/>
      </w:pPr>
      <w:r>
        <w:rPr>
          <w:sz w:val="16"/>
          <w:szCs w:val="16"/>
        </w:rPr>
        <w:t>Fig. 6. Distribution of the 39,601 lines of C# across subsystems.</w:t>
      </w:r>
    </w:p>
    <w:p w14:paraId="01430159" w14:textId="77777777" w:rsidR="00677C22" w:rsidRDefault="004D052E">
      <w:pPr>
        <w:keepNext/>
        <w:spacing w:before="160" w:after="80"/>
        <w:jc w:val="center"/>
      </w:pPr>
      <w:r>
        <w:rPr>
          <w:smallCaps/>
        </w:rPr>
        <w:t>IV. Methodology</w:t>
      </w:r>
    </w:p>
    <w:p w14:paraId="02975E1F" w14:textId="77777777" w:rsidR="00677C22" w:rsidRDefault="004D052E">
      <w:pPr>
        <w:keepNext/>
        <w:spacing w:before="80" w:after="40"/>
      </w:pPr>
      <w:r>
        <w:rPr>
          <w:i/>
          <w:iCs/>
        </w:rPr>
        <w:t>A. Data-Driven Recipes</w:t>
      </w:r>
    </w:p>
    <w:p w14:paraId="040273E1" w14:textId="77777777" w:rsidR="00677C22" w:rsidRDefault="004D052E">
      <w:pPr>
        <w:ind w:firstLine="288"/>
        <w:jc w:val="both"/>
      </w:pPr>
      <w:r>
        <w:t>Each reaction is described by a ScriptableObject recipe holding reagents, targets, units, a tolerance and an order rule (Table II). Tolerances are tight for the violent alkali-metal reactions and loose for hand-timed heating.</w:t>
      </w:r>
    </w:p>
    <w:p w14:paraId="6D242895" w14:textId="77777777" w:rsidR="00677C22" w:rsidRDefault="004D052E">
      <w:pPr>
        <w:keepNext/>
        <w:spacing w:before="100"/>
        <w:jc w:val="center"/>
      </w:pPr>
      <w:r>
        <w:rPr>
          <w:smallCaps/>
          <w:sz w:val="16"/>
          <w:szCs w:val="16"/>
        </w:rPr>
        <w:t>TABLE II</w:t>
      </w:r>
    </w:p>
    <w:p w14:paraId="1F35C348" w14:textId="77777777" w:rsidR="00677C22" w:rsidRDefault="004D052E">
      <w:pPr>
        <w:keepNext/>
        <w:spacing w:after="60"/>
        <w:jc w:val="center"/>
      </w:pPr>
      <w:r>
        <w:rPr>
          <w:smallCaps/>
          <w:sz w:val="16"/>
          <w:szCs w:val="16"/>
        </w:rPr>
        <w:t>Shipped Reaction Recipes</w:t>
      </w:r>
    </w:p>
    <w:tbl>
      <w:tblPr>
        <w:tblW w:w="50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
        <w:gridCol w:w="2286"/>
        <w:gridCol w:w="1974"/>
        <w:gridCol w:w="467"/>
      </w:tblGrid>
      <w:tr w:rsidR="00677C22" w14:paraId="3F361F74" w14:textId="77777777">
        <w:tblPrEx>
          <w:tblCellMar>
            <w:top w:w="0" w:type="dxa"/>
            <w:bottom w:w="0" w:type="dxa"/>
          </w:tblCellMar>
        </w:tblPrEx>
        <w:trPr>
          <w:tblHeader/>
          <w:jc w:val="center"/>
        </w:trPr>
        <w:tc>
          <w:tcPr>
            <w:tcW w:w="311" w:type="dxa"/>
            <w:tcBorders>
              <w:top w:val="single" w:sz="4" w:space="0" w:color="000000"/>
              <w:left w:val="single" w:sz="4" w:space="0" w:color="000000"/>
              <w:bottom w:val="single" w:sz="4" w:space="0" w:color="000000"/>
              <w:right w:val="single" w:sz="4" w:space="0" w:color="000000"/>
            </w:tcBorders>
            <w:shd w:val="clear" w:color="auto" w:fill="E7E6E6"/>
            <w:tcMar>
              <w:top w:w="20" w:type="dxa"/>
              <w:left w:w="50" w:type="dxa"/>
              <w:bottom w:w="20" w:type="dxa"/>
              <w:right w:w="50" w:type="dxa"/>
            </w:tcMar>
            <w:vAlign w:val="center"/>
          </w:tcPr>
          <w:p w14:paraId="6C9151EF" w14:textId="77777777" w:rsidR="00677C22" w:rsidRDefault="004D052E">
            <w:pPr>
              <w:jc w:val="center"/>
            </w:pPr>
            <w:r>
              <w:rPr>
                <w:b/>
                <w:bCs/>
                <w:sz w:val="15"/>
                <w:szCs w:val="15"/>
              </w:rPr>
              <w:t>#</w:t>
            </w:r>
          </w:p>
        </w:tc>
        <w:tc>
          <w:tcPr>
            <w:tcW w:w="2286" w:type="dxa"/>
            <w:tcBorders>
              <w:top w:val="single" w:sz="4" w:space="0" w:color="000000"/>
              <w:left w:val="single" w:sz="4" w:space="0" w:color="000000"/>
              <w:bottom w:val="single" w:sz="4" w:space="0" w:color="000000"/>
              <w:right w:val="single" w:sz="4" w:space="0" w:color="000000"/>
            </w:tcBorders>
            <w:shd w:val="clear" w:color="auto" w:fill="E7E6E6"/>
            <w:tcMar>
              <w:top w:w="20" w:type="dxa"/>
              <w:left w:w="50" w:type="dxa"/>
              <w:bottom w:w="20" w:type="dxa"/>
              <w:right w:w="50" w:type="dxa"/>
            </w:tcMar>
            <w:vAlign w:val="center"/>
          </w:tcPr>
          <w:p w14:paraId="1E01212E" w14:textId="77777777" w:rsidR="00677C22" w:rsidRDefault="004D052E">
            <w:pPr>
              <w:jc w:val="center"/>
            </w:pPr>
            <w:r>
              <w:rPr>
                <w:b/>
                <w:bCs/>
                <w:sz w:val="15"/>
                <w:szCs w:val="15"/>
              </w:rPr>
              <w:t>Reaction</w:t>
            </w:r>
          </w:p>
        </w:tc>
        <w:tc>
          <w:tcPr>
            <w:tcW w:w="1974" w:type="dxa"/>
            <w:tcBorders>
              <w:top w:val="single" w:sz="4" w:space="0" w:color="000000"/>
              <w:left w:val="single" w:sz="4" w:space="0" w:color="000000"/>
              <w:bottom w:val="single" w:sz="4" w:space="0" w:color="000000"/>
              <w:right w:val="single" w:sz="4" w:space="0" w:color="000000"/>
            </w:tcBorders>
            <w:shd w:val="clear" w:color="auto" w:fill="E7E6E6"/>
            <w:tcMar>
              <w:top w:w="20" w:type="dxa"/>
              <w:left w:w="50" w:type="dxa"/>
              <w:bottom w:w="20" w:type="dxa"/>
              <w:right w:w="50" w:type="dxa"/>
            </w:tcMar>
            <w:vAlign w:val="center"/>
          </w:tcPr>
          <w:p w14:paraId="2C62B628" w14:textId="77777777" w:rsidR="00677C22" w:rsidRDefault="004D052E">
            <w:pPr>
              <w:jc w:val="center"/>
            </w:pPr>
            <w:r>
              <w:rPr>
                <w:b/>
                <w:bCs/>
                <w:sz w:val="15"/>
                <w:szCs w:val="15"/>
              </w:rPr>
              <w:t>Targets (ordered)</w:t>
            </w:r>
          </w:p>
        </w:tc>
        <w:tc>
          <w:tcPr>
            <w:tcW w:w="467" w:type="dxa"/>
            <w:tcBorders>
              <w:top w:val="single" w:sz="4" w:space="0" w:color="000000"/>
              <w:left w:val="single" w:sz="4" w:space="0" w:color="000000"/>
              <w:bottom w:val="single" w:sz="4" w:space="0" w:color="000000"/>
              <w:right w:val="single" w:sz="4" w:space="0" w:color="000000"/>
            </w:tcBorders>
            <w:shd w:val="clear" w:color="auto" w:fill="E7E6E6"/>
            <w:tcMar>
              <w:top w:w="20" w:type="dxa"/>
              <w:left w:w="50" w:type="dxa"/>
              <w:bottom w:w="20" w:type="dxa"/>
              <w:right w:w="50" w:type="dxa"/>
            </w:tcMar>
            <w:vAlign w:val="center"/>
          </w:tcPr>
          <w:p w14:paraId="61F2EB34" w14:textId="77777777" w:rsidR="00677C22" w:rsidRDefault="004D052E">
            <w:pPr>
              <w:jc w:val="center"/>
            </w:pPr>
            <w:r>
              <w:rPr>
                <w:b/>
                <w:bCs/>
                <w:sz w:val="15"/>
                <w:szCs w:val="15"/>
              </w:rPr>
              <w:t>τ</w:t>
            </w:r>
          </w:p>
        </w:tc>
      </w:tr>
      <w:tr w:rsidR="00677C22" w14:paraId="35017083" w14:textId="77777777">
        <w:tblPrEx>
          <w:tblCellMar>
            <w:top w:w="0" w:type="dxa"/>
            <w:bottom w:w="0" w:type="dxa"/>
          </w:tblCellMar>
        </w:tblPrEx>
        <w:trPr>
          <w:cantSplit/>
          <w:jc w:val="center"/>
        </w:trPr>
        <w:tc>
          <w:tcPr>
            <w:tcW w:w="311"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1A617EC2" w14:textId="77777777" w:rsidR="00677C22" w:rsidRDefault="004D052E">
            <w:pPr>
              <w:jc w:val="center"/>
            </w:pPr>
            <w:r>
              <w:rPr>
                <w:sz w:val="15"/>
                <w:szCs w:val="15"/>
              </w:rPr>
              <w:t>1</w:t>
            </w:r>
          </w:p>
        </w:tc>
        <w:tc>
          <w:tcPr>
            <w:tcW w:w="2286"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2948953F" w14:textId="77777777" w:rsidR="00677C22" w:rsidRDefault="004D052E">
            <w:pPr>
              <w:jc w:val="center"/>
            </w:pPr>
            <w:r>
              <w:rPr>
                <w:sz w:val="15"/>
                <w:szCs w:val="15"/>
              </w:rPr>
              <w:t>2Na+2H</w:t>
            </w:r>
            <w:r>
              <w:rPr>
                <w:sz w:val="15"/>
                <w:szCs w:val="15"/>
                <w:vertAlign w:val="subscript"/>
              </w:rPr>
              <w:t>2</w:t>
            </w:r>
            <w:r>
              <w:rPr>
                <w:sz w:val="15"/>
                <w:szCs w:val="15"/>
              </w:rPr>
              <w:t>O→2NaOH+H</w:t>
            </w:r>
            <w:r>
              <w:rPr>
                <w:sz w:val="15"/>
                <w:szCs w:val="15"/>
                <w:vertAlign w:val="subscript"/>
              </w:rPr>
              <w:t>2</w:t>
            </w:r>
          </w:p>
        </w:tc>
        <w:tc>
          <w:tcPr>
            <w:tcW w:w="1974"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60925146" w14:textId="77777777" w:rsidR="00677C22" w:rsidRDefault="004D052E">
            <w:pPr>
              <w:jc w:val="center"/>
            </w:pPr>
            <w:r>
              <w:rPr>
                <w:sz w:val="15"/>
                <w:szCs w:val="15"/>
              </w:rPr>
              <w:t>H</w:t>
            </w:r>
            <w:r>
              <w:rPr>
                <w:sz w:val="15"/>
                <w:szCs w:val="15"/>
                <w:vertAlign w:val="subscript"/>
              </w:rPr>
              <w:t>2</w:t>
            </w:r>
            <w:r>
              <w:rPr>
                <w:sz w:val="15"/>
                <w:szCs w:val="15"/>
              </w:rPr>
              <w:t>O 50 ml; Na 5 g</w:t>
            </w:r>
          </w:p>
        </w:tc>
        <w:tc>
          <w:tcPr>
            <w:tcW w:w="467"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6844DDE4" w14:textId="77777777" w:rsidR="00677C22" w:rsidRDefault="004D052E">
            <w:pPr>
              <w:jc w:val="center"/>
            </w:pPr>
            <w:r>
              <w:rPr>
                <w:sz w:val="15"/>
                <w:szCs w:val="15"/>
              </w:rPr>
              <w:t>5%</w:t>
            </w:r>
          </w:p>
        </w:tc>
      </w:tr>
      <w:tr w:rsidR="00677C22" w14:paraId="1B940ED0" w14:textId="77777777">
        <w:tblPrEx>
          <w:tblCellMar>
            <w:top w:w="0" w:type="dxa"/>
            <w:bottom w:w="0" w:type="dxa"/>
          </w:tblCellMar>
        </w:tblPrEx>
        <w:trPr>
          <w:cantSplit/>
          <w:jc w:val="center"/>
        </w:trPr>
        <w:tc>
          <w:tcPr>
            <w:tcW w:w="311"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13460EA9" w14:textId="77777777" w:rsidR="00677C22" w:rsidRDefault="004D052E">
            <w:pPr>
              <w:jc w:val="center"/>
            </w:pPr>
            <w:r>
              <w:rPr>
                <w:sz w:val="15"/>
                <w:szCs w:val="15"/>
              </w:rPr>
              <w:t>2</w:t>
            </w:r>
          </w:p>
        </w:tc>
        <w:tc>
          <w:tcPr>
            <w:tcW w:w="2286"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01AD1E4C" w14:textId="77777777" w:rsidR="00677C22" w:rsidRDefault="004D052E">
            <w:pPr>
              <w:jc w:val="center"/>
            </w:pPr>
            <w:r>
              <w:rPr>
                <w:sz w:val="15"/>
                <w:szCs w:val="15"/>
              </w:rPr>
              <w:t>H</w:t>
            </w:r>
            <w:r>
              <w:rPr>
                <w:sz w:val="15"/>
                <w:szCs w:val="15"/>
                <w:vertAlign w:val="subscript"/>
              </w:rPr>
              <w:t>2</w:t>
            </w:r>
            <w:r>
              <w:rPr>
                <w:sz w:val="15"/>
                <w:szCs w:val="15"/>
              </w:rPr>
              <w:t>SO</w:t>
            </w:r>
            <w:r>
              <w:rPr>
                <w:sz w:val="15"/>
                <w:szCs w:val="15"/>
                <w:vertAlign w:val="subscript"/>
              </w:rPr>
              <w:t>4</w:t>
            </w:r>
            <w:r>
              <w:rPr>
                <w:sz w:val="15"/>
                <w:szCs w:val="15"/>
              </w:rPr>
              <w:t>+CuO→CuSO</w:t>
            </w:r>
            <w:r>
              <w:rPr>
                <w:sz w:val="15"/>
                <w:szCs w:val="15"/>
                <w:vertAlign w:val="subscript"/>
              </w:rPr>
              <w:t>4</w:t>
            </w:r>
            <w:r>
              <w:rPr>
                <w:sz w:val="15"/>
                <w:szCs w:val="15"/>
              </w:rPr>
              <w:t>+H</w:t>
            </w:r>
            <w:r>
              <w:rPr>
                <w:sz w:val="15"/>
                <w:szCs w:val="15"/>
                <w:vertAlign w:val="subscript"/>
              </w:rPr>
              <w:t>2</w:t>
            </w:r>
            <w:r>
              <w:rPr>
                <w:sz w:val="15"/>
                <w:szCs w:val="15"/>
              </w:rPr>
              <w:t>O</w:t>
            </w:r>
          </w:p>
        </w:tc>
        <w:tc>
          <w:tcPr>
            <w:tcW w:w="1974"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69700639" w14:textId="77777777" w:rsidR="00677C22" w:rsidRDefault="004D052E">
            <w:pPr>
              <w:jc w:val="center"/>
            </w:pPr>
            <w:r>
              <w:rPr>
                <w:sz w:val="15"/>
                <w:szCs w:val="15"/>
              </w:rPr>
              <w:t>H</w:t>
            </w:r>
            <w:r>
              <w:rPr>
                <w:sz w:val="15"/>
                <w:szCs w:val="15"/>
                <w:vertAlign w:val="subscript"/>
              </w:rPr>
              <w:t>2</w:t>
            </w:r>
            <w:r>
              <w:rPr>
                <w:sz w:val="15"/>
                <w:szCs w:val="15"/>
              </w:rPr>
              <w:t>SO</w:t>
            </w:r>
            <w:r>
              <w:rPr>
                <w:sz w:val="15"/>
                <w:szCs w:val="15"/>
                <w:vertAlign w:val="subscript"/>
              </w:rPr>
              <w:t>4</w:t>
            </w:r>
            <w:r>
              <w:rPr>
                <w:sz w:val="15"/>
                <w:szCs w:val="15"/>
              </w:rPr>
              <w:t xml:space="preserve"> 20 ml; CuO 8 g</w:t>
            </w:r>
          </w:p>
        </w:tc>
        <w:tc>
          <w:tcPr>
            <w:tcW w:w="467"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09ABB6E4" w14:textId="77777777" w:rsidR="00677C22" w:rsidRDefault="004D052E">
            <w:pPr>
              <w:jc w:val="center"/>
            </w:pPr>
            <w:r>
              <w:rPr>
                <w:sz w:val="15"/>
                <w:szCs w:val="15"/>
              </w:rPr>
              <w:t>8%</w:t>
            </w:r>
          </w:p>
        </w:tc>
      </w:tr>
      <w:tr w:rsidR="00677C22" w14:paraId="38545F1B" w14:textId="77777777">
        <w:tblPrEx>
          <w:tblCellMar>
            <w:top w:w="0" w:type="dxa"/>
            <w:bottom w:w="0" w:type="dxa"/>
          </w:tblCellMar>
        </w:tblPrEx>
        <w:trPr>
          <w:cantSplit/>
          <w:jc w:val="center"/>
        </w:trPr>
        <w:tc>
          <w:tcPr>
            <w:tcW w:w="311"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1A090E11" w14:textId="77777777" w:rsidR="00677C22" w:rsidRDefault="004D052E">
            <w:pPr>
              <w:jc w:val="center"/>
            </w:pPr>
            <w:r>
              <w:rPr>
                <w:sz w:val="15"/>
                <w:szCs w:val="15"/>
              </w:rPr>
              <w:t>3</w:t>
            </w:r>
          </w:p>
        </w:tc>
        <w:tc>
          <w:tcPr>
            <w:tcW w:w="2286"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686D671C" w14:textId="77777777" w:rsidR="00677C22" w:rsidRDefault="004D052E">
            <w:pPr>
              <w:jc w:val="center"/>
            </w:pPr>
            <w:r>
              <w:rPr>
                <w:sz w:val="15"/>
                <w:szCs w:val="15"/>
              </w:rPr>
              <w:t>HCl+NaHCO</w:t>
            </w:r>
            <w:r>
              <w:rPr>
                <w:sz w:val="15"/>
                <w:szCs w:val="15"/>
                <w:vertAlign w:val="subscript"/>
              </w:rPr>
              <w:t>3</w:t>
            </w:r>
            <w:r>
              <w:rPr>
                <w:sz w:val="15"/>
                <w:szCs w:val="15"/>
              </w:rPr>
              <w:t>→NaCl+H</w:t>
            </w:r>
            <w:r>
              <w:rPr>
                <w:sz w:val="15"/>
                <w:szCs w:val="15"/>
                <w:vertAlign w:val="subscript"/>
              </w:rPr>
              <w:t>2</w:t>
            </w:r>
            <w:r>
              <w:rPr>
                <w:sz w:val="15"/>
                <w:szCs w:val="15"/>
              </w:rPr>
              <w:t>O+CO</w:t>
            </w:r>
            <w:r>
              <w:rPr>
                <w:sz w:val="15"/>
                <w:szCs w:val="15"/>
                <w:vertAlign w:val="subscript"/>
              </w:rPr>
              <w:t>2</w:t>
            </w:r>
          </w:p>
        </w:tc>
        <w:tc>
          <w:tcPr>
            <w:tcW w:w="1974"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48197B35" w14:textId="77777777" w:rsidR="00677C22" w:rsidRDefault="004D052E">
            <w:pPr>
              <w:jc w:val="center"/>
            </w:pPr>
            <w:r>
              <w:rPr>
                <w:sz w:val="15"/>
                <w:szCs w:val="15"/>
              </w:rPr>
              <w:t>HCl 15 ml; NaHCO</w:t>
            </w:r>
            <w:r>
              <w:rPr>
                <w:sz w:val="15"/>
                <w:szCs w:val="15"/>
                <w:vertAlign w:val="subscript"/>
              </w:rPr>
              <w:t>3</w:t>
            </w:r>
            <w:r>
              <w:rPr>
                <w:sz w:val="15"/>
                <w:szCs w:val="15"/>
              </w:rPr>
              <w:t xml:space="preserve"> 12 g</w:t>
            </w:r>
          </w:p>
        </w:tc>
        <w:tc>
          <w:tcPr>
            <w:tcW w:w="467"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14987886" w14:textId="77777777" w:rsidR="00677C22" w:rsidRDefault="004D052E">
            <w:pPr>
              <w:jc w:val="center"/>
            </w:pPr>
            <w:r>
              <w:rPr>
                <w:sz w:val="15"/>
                <w:szCs w:val="15"/>
              </w:rPr>
              <w:t>10%</w:t>
            </w:r>
          </w:p>
        </w:tc>
      </w:tr>
      <w:tr w:rsidR="00677C22" w14:paraId="07AEB159" w14:textId="77777777">
        <w:tblPrEx>
          <w:tblCellMar>
            <w:top w:w="0" w:type="dxa"/>
            <w:bottom w:w="0" w:type="dxa"/>
          </w:tblCellMar>
        </w:tblPrEx>
        <w:trPr>
          <w:cantSplit/>
          <w:jc w:val="center"/>
        </w:trPr>
        <w:tc>
          <w:tcPr>
            <w:tcW w:w="311"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17D17204" w14:textId="77777777" w:rsidR="00677C22" w:rsidRDefault="004D052E">
            <w:pPr>
              <w:jc w:val="center"/>
            </w:pPr>
            <w:r>
              <w:rPr>
                <w:sz w:val="15"/>
                <w:szCs w:val="15"/>
              </w:rPr>
              <w:t>4</w:t>
            </w:r>
          </w:p>
        </w:tc>
        <w:tc>
          <w:tcPr>
            <w:tcW w:w="2286"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590FC9CF" w14:textId="77777777" w:rsidR="00677C22" w:rsidRDefault="004D052E">
            <w:pPr>
              <w:jc w:val="center"/>
            </w:pPr>
            <w:r>
              <w:rPr>
                <w:sz w:val="15"/>
                <w:szCs w:val="15"/>
              </w:rPr>
              <w:t>2K+2H</w:t>
            </w:r>
            <w:r>
              <w:rPr>
                <w:sz w:val="15"/>
                <w:szCs w:val="15"/>
                <w:vertAlign w:val="subscript"/>
              </w:rPr>
              <w:t>2</w:t>
            </w:r>
            <w:r>
              <w:rPr>
                <w:sz w:val="15"/>
                <w:szCs w:val="15"/>
              </w:rPr>
              <w:t>O→2KOH+H</w:t>
            </w:r>
            <w:r>
              <w:rPr>
                <w:sz w:val="15"/>
                <w:szCs w:val="15"/>
                <w:vertAlign w:val="subscript"/>
              </w:rPr>
              <w:t>2</w:t>
            </w:r>
          </w:p>
        </w:tc>
        <w:tc>
          <w:tcPr>
            <w:tcW w:w="1974"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4DBDF98B" w14:textId="77777777" w:rsidR="00677C22" w:rsidRDefault="004D052E">
            <w:pPr>
              <w:jc w:val="center"/>
            </w:pPr>
            <w:r>
              <w:rPr>
                <w:sz w:val="15"/>
                <w:szCs w:val="15"/>
              </w:rPr>
              <w:t>H</w:t>
            </w:r>
            <w:r>
              <w:rPr>
                <w:sz w:val="15"/>
                <w:szCs w:val="15"/>
                <w:vertAlign w:val="subscript"/>
              </w:rPr>
              <w:t>2</w:t>
            </w:r>
            <w:r>
              <w:rPr>
                <w:sz w:val="15"/>
                <w:szCs w:val="15"/>
              </w:rPr>
              <w:t>O 50 ml; K 3 g</w:t>
            </w:r>
          </w:p>
        </w:tc>
        <w:tc>
          <w:tcPr>
            <w:tcW w:w="467"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0C1B2031" w14:textId="77777777" w:rsidR="00677C22" w:rsidRDefault="004D052E">
            <w:pPr>
              <w:jc w:val="center"/>
            </w:pPr>
            <w:r>
              <w:rPr>
                <w:sz w:val="15"/>
                <w:szCs w:val="15"/>
              </w:rPr>
              <w:t>5%</w:t>
            </w:r>
          </w:p>
        </w:tc>
      </w:tr>
      <w:tr w:rsidR="00677C22" w14:paraId="1975D529" w14:textId="77777777">
        <w:tblPrEx>
          <w:tblCellMar>
            <w:top w:w="0" w:type="dxa"/>
            <w:bottom w:w="0" w:type="dxa"/>
          </w:tblCellMar>
        </w:tblPrEx>
        <w:trPr>
          <w:cantSplit/>
          <w:jc w:val="center"/>
        </w:trPr>
        <w:tc>
          <w:tcPr>
            <w:tcW w:w="311"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53D669FD" w14:textId="77777777" w:rsidR="00677C22" w:rsidRDefault="004D052E">
            <w:pPr>
              <w:jc w:val="center"/>
            </w:pPr>
            <w:r>
              <w:rPr>
                <w:sz w:val="15"/>
                <w:szCs w:val="15"/>
              </w:rPr>
              <w:t>5</w:t>
            </w:r>
          </w:p>
        </w:tc>
        <w:tc>
          <w:tcPr>
            <w:tcW w:w="2286"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63ACF3C3" w14:textId="77777777" w:rsidR="00677C22" w:rsidRDefault="004D052E">
            <w:pPr>
              <w:jc w:val="center"/>
            </w:pPr>
            <w:r>
              <w:rPr>
                <w:sz w:val="15"/>
                <w:szCs w:val="15"/>
              </w:rPr>
              <w:t>2Al+3I</w:t>
            </w:r>
            <w:r>
              <w:rPr>
                <w:sz w:val="15"/>
                <w:szCs w:val="15"/>
                <w:vertAlign w:val="subscript"/>
              </w:rPr>
              <w:t>2</w:t>
            </w:r>
            <w:r>
              <w:rPr>
                <w:sz w:val="15"/>
                <w:szCs w:val="15"/>
              </w:rPr>
              <w:t>→2AlI</w:t>
            </w:r>
            <w:r>
              <w:rPr>
                <w:sz w:val="15"/>
                <w:szCs w:val="15"/>
                <w:vertAlign w:val="subscript"/>
              </w:rPr>
              <w:t>3</w:t>
            </w:r>
          </w:p>
        </w:tc>
        <w:tc>
          <w:tcPr>
            <w:tcW w:w="1974"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7D106C68" w14:textId="77777777" w:rsidR="00677C22" w:rsidRDefault="004D052E">
            <w:pPr>
              <w:jc w:val="center"/>
            </w:pPr>
            <w:r>
              <w:rPr>
                <w:sz w:val="15"/>
                <w:szCs w:val="15"/>
              </w:rPr>
              <w:t>Al 5 g; I</w:t>
            </w:r>
            <w:r>
              <w:rPr>
                <w:sz w:val="15"/>
                <w:szCs w:val="15"/>
                <w:vertAlign w:val="subscript"/>
              </w:rPr>
              <w:t>2</w:t>
            </w:r>
            <w:r>
              <w:rPr>
                <w:sz w:val="15"/>
                <w:szCs w:val="15"/>
              </w:rPr>
              <w:t xml:space="preserve"> 15 g; H</w:t>
            </w:r>
            <w:r>
              <w:rPr>
                <w:sz w:val="15"/>
                <w:szCs w:val="15"/>
                <w:vertAlign w:val="subscript"/>
              </w:rPr>
              <w:t>2</w:t>
            </w:r>
            <w:r>
              <w:rPr>
                <w:sz w:val="15"/>
                <w:szCs w:val="15"/>
              </w:rPr>
              <w:t>O 2 ml</w:t>
            </w:r>
          </w:p>
        </w:tc>
        <w:tc>
          <w:tcPr>
            <w:tcW w:w="467"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7A1BD98C" w14:textId="77777777" w:rsidR="00677C22" w:rsidRDefault="004D052E">
            <w:pPr>
              <w:jc w:val="center"/>
            </w:pPr>
            <w:r>
              <w:rPr>
                <w:sz w:val="15"/>
                <w:szCs w:val="15"/>
              </w:rPr>
              <w:t>10%</w:t>
            </w:r>
          </w:p>
        </w:tc>
      </w:tr>
      <w:tr w:rsidR="00677C22" w14:paraId="30E3F0D3" w14:textId="77777777">
        <w:tblPrEx>
          <w:tblCellMar>
            <w:top w:w="0" w:type="dxa"/>
            <w:bottom w:w="0" w:type="dxa"/>
          </w:tblCellMar>
        </w:tblPrEx>
        <w:trPr>
          <w:cantSplit/>
          <w:jc w:val="center"/>
        </w:trPr>
        <w:tc>
          <w:tcPr>
            <w:tcW w:w="311"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587F3EC4" w14:textId="77777777" w:rsidR="00677C22" w:rsidRDefault="004D052E">
            <w:pPr>
              <w:jc w:val="center"/>
            </w:pPr>
            <w:r>
              <w:rPr>
                <w:sz w:val="15"/>
                <w:szCs w:val="15"/>
              </w:rPr>
              <w:t>6</w:t>
            </w:r>
          </w:p>
        </w:tc>
        <w:tc>
          <w:tcPr>
            <w:tcW w:w="2286"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2497B9E0" w14:textId="77777777" w:rsidR="00677C22" w:rsidRDefault="004D052E">
            <w:pPr>
              <w:jc w:val="center"/>
            </w:pPr>
            <w:r>
              <w:rPr>
                <w:sz w:val="15"/>
                <w:szCs w:val="15"/>
              </w:rPr>
              <w:t>CaO+H</w:t>
            </w:r>
            <w:r>
              <w:rPr>
                <w:sz w:val="15"/>
                <w:szCs w:val="15"/>
                <w:vertAlign w:val="subscript"/>
              </w:rPr>
              <w:t>2</w:t>
            </w:r>
            <w:r>
              <w:rPr>
                <w:sz w:val="15"/>
                <w:szCs w:val="15"/>
              </w:rPr>
              <w:t>O→Ca(OH)</w:t>
            </w:r>
            <w:r>
              <w:rPr>
                <w:sz w:val="15"/>
                <w:szCs w:val="15"/>
                <w:vertAlign w:val="subscript"/>
              </w:rPr>
              <w:t>2</w:t>
            </w:r>
          </w:p>
        </w:tc>
        <w:tc>
          <w:tcPr>
            <w:tcW w:w="1974"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6BC28397" w14:textId="77777777" w:rsidR="00677C22" w:rsidRDefault="004D052E">
            <w:pPr>
              <w:jc w:val="center"/>
            </w:pPr>
            <w:r>
              <w:rPr>
                <w:sz w:val="15"/>
                <w:szCs w:val="15"/>
              </w:rPr>
              <w:t>H</w:t>
            </w:r>
            <w:r>
              <w:rPr>
                <w:sz w:val="15"/>
                <w:szCs w:val="15"/>
                <w:vertAlign w:val="subscript"/>
              </w:rPr>
              <w:t>2</w:t>
            </w:r>
            <w:r>
              <w:rPr>
                <w:sz w:val="15"/>
                <w:szCs w:val="15"/>
              </w:rPr>
              <w:t>O 30 ml; CaO 15 g</w:t>
            </w:r>
          </w:p>
        </w:tc>
        <w:tc>
          <w:tcPr>
            <w:tcW w:w="467"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203F210F" w14:textId="77777777" w:rsidR="00677C22" w:rsidRDefault="004D052E">
            <w:pPr>
              <w:jc w:val="center"/>
            </w:pPr>
            <w:r>
              <w:rPr>
                <w:sz w:val="15"/>
                <w:szCs w:val="15"/>
              </w:rPr>
              <w:t>8%</w:t>
            </w:r>
          </w:p>
        </w:tc>
      </w:tr>
      <w:tr w:rsidR="00677C22" w14:paraId="2974424B" w14:textId="77777777">
        <w:tblPrEx>
          <w:tblCellMar>
            <w:top w:w="0" w:type="dxa"/>
            <w:bottom w:w="0" w:type="dxa"/>
          </w:tblCellMar>
        </w:tblPrEx>
        <w:trPr>
          <w:cantSplit/>
          <w:jc w:val="center"/>
        </w:trPr>
        <w:tc>
          <w:tcPr>
            <w:tcW w:w="311"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339AA738" w14:textId="77777777" w:rsidR="00677C22" w:rsidRDefault="004D052E">
            <w:pPr>
              <w:jc w:val="center"/>
            </w:pPr>
            <w:r>
              <w:rPr>
                <w:sz w:val="15"/>
                <w:szCs w:val="15"/>
              </w:rPr>
              <w:t>7</w:t>
            </w:r>
          </w:p>
        </w:tc>
        <w:tc>
          <w:tcPr>
            <w:tcW w:w="2286"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4F0DDDA5" w14:textId="77777777" w:rsidR="00677C22" w:rsidRDefault="004D052E">
            <w:pPr>
              <w:jc w:val="center"/>
            </w:pPr>
            <w:r>
              <w:rPr>
                <w:sz w:val="15"/>
                <w:szCs w:val="15"/>
              </w:rPr>
              <w:t>CaCO</w:t>
            </w:r>
            <w:r>
              <w:rPr>
                <w:sz w:val="15"/>
                <w:szCs w:val="15"/>
                <w:vertAlign w:val="subscript"/>
              </w:rPr>
              <w:t>3</w:t>
            </w:r>
            <w:r>
              <w:rPr>
                <w:sz w:val="15"/>
                <w:szCs w:val="15"/>
              </w:rPr>
              <w:t>→CaO+CO</w:t>
            </w:r>
            <w:r>
              <w:rPr>
                <w:sz w:val="15"/>
                <w:szCs w:val="15"/>
                <w:vertAlign w:val="subscript"/>
              </w:rPr>
              <w:t>2</w:t>
            </w:r>
          </w:p>
        </w:tc>
        <w:tc>
          <w:tcPr>
            <w:tcW w:w="1974"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61FCD5A9" w14:textId="77777777" w:rsidR="00677C22" w:rsidRDefault="004D052E">
            <w:pPr>
              <w:jc w:val="center"/>
            </w:pPr>
            <w:r>
              <w:rPr>
                <w:sz w:val="15"/>
                <w:szCs w:val="15"/>
              </w:rPr>
              <w:t>Heat 10 s (balloon first)</w:t>
            </w:r>
          </w:p>
        </w:tc>
        <w:tc>
          <w:tcPr>
            <w:tcW w:w="467"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3B9DA29D" w14:textId="77777777" w:rsidR="00677C22" w:rsidRDefault="004D052E">
            <w:pPr>
              <w:jc w:val="center"/>
            </w:pPr>
            <w:r>
              <w:rPr>
                <w:sz w:val="15"/>
                <w:szCs w:val="15"/>
              </w:rPr>
              <w:t>15%</w:t>
            </w:r>
          </w:p>
        </w:tc>
      </w:tr>
      <w:tr w:rsidR="00677C22" w14:paraId="7CFED61D" w14:textId="77777777">
        <w:tblPrEx>
          <w:tblCellMar>
            <w:top w:w="0" w:type="dxa"/>
            <w:bottom w:w="0" w:type="dxa"/>
          </w:tblCellMar>
        </w:tblPrEx>
        <w:trPr>
          <w:cantSplit/>
          <w:jc w:val="center"/>
        </w:trPr>
        <w:tc>
          <w:tcPr>
            <w:tcW w:w="311"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6C20083E" w14:textId="77777777" w:rsidR="00677C22" w:rsidRDefault="004D052E">
            <w:pPr>
              <w:jc w:val="center"/>
            </w:pPr>
            <w:r>
              <w:rPr>
                <w:sz w:val="15"/>
                <w:szCs w:val="15"/>
              </w:rPr>
              <w:t>8</w:t>
            </w:r>
          </w:p>
        </w:tc>
        <w:tc>
          <w:tcPr>
            <w:tcW w:w="2286"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23E919ED" w14:textId="77777777" w:rsidR="00677C22" w:rsidRDefault="004D052E">
            <w:pPr>
              <w:jc w:val="center"/>
            </w:pPr>
            <w:r>
              <w:rPr>
                <w:sz w:val="15"/>
                <w:szCs w:val="15"/>
              </w:rPr>
              <w:t>2FeSO</w:t>
            </w:r>
            <w:r>
              <w:rPr>
                <w:sz w:val="15"/>
                <w:szCs w:val="15"/>
                <w:vertAlign w:val="subscript"/>
              </w:rPr>
              <w:t>4</w:t>
            </w:r>
            <w:r>
              <w:rPr>
                <w:sz w:val="15"/>
                <w:szCs w:val="15"/>
              </w:rPr>
              <w:t>→Fe</w:t>
            </w:r>
            <w:r>
              <w:rPr>
                <w:sz w:val="15"/>
                <w:szCs w:val="15"/>
                <w:vertAlign w:val="subscript"/>
              </w:rPr>
              <w:t>2</w:t>
            </w:r>
            <w:r>
              <w:rPr>
                <w:sz w:val="15"/>
                <w:szCs w:val="15"/>
              </w:rPr>
              <w:t>O</w:t>
            </w:r>
            <w:r>
              <w:rPr>
                <w:sz w:val="15"/>
                <w:szCs w:val="15"/>
                <w:vertAlign w:val="subscript"/>
              </w:rPr>
              <w:t>3</w:t>
            </w:r>
            <w:r>
              <w:rPr>
                <w:sz w:val="15"/>
                <w:szCs w:val="15"/>
              </w:rPr>
              <w:t>+SO</w:t>
            </w:r>
            <w:r>
              <w:rPr>
                <w:sz w:val="15"/>
                <w:szCs w:val="15"/>
                <w:vertAlign w:val="subscript"/>
              </w:rPr>
              <w:t>2</w:t>
            </w:r>
            <w:r>
              <w:rPr>
                <w:sz w:val="15"/>
                <w:szCs w:val="15"/>
              </w:rPr>
              <w:t>+SO</w:t>
            </w:r>
            <w:r>
              <w:rPr>
                <w:sz w:val="15"/>
                <w:szCs w:val="15"/>
                <w:vertAlign w:val="subscript"/>
              </w:rPr>
              <w:t>3</w:t>
            </w:r>
          </w:p>
        </w:tc>
        <w:tc>
          <w:tcPr>
            <w:tcW w:w="1974"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4094660D" w14:textId="77777777" w:rsidR="00677C22" w:rsidRDefault="004D052E">
            <w:pPr>
              <w:jc w:val="center"/>
            </w:pPr>
            <w:r>
              <w:rPr>
                <w:sz w:val="15"/>
                <w:szCs w:val="15"/>
              </w:rPr>
              <w:t>Heat 10 s</w:t>
            </w:r>
          </w:p>
        </w:tc>
        <w:tc>
          <w:tcPr>
            <w:tcW w:w="467"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181BC91B" w14:textId="77777777" w:rsidR="00677C22" w:rsidRDefault="004D052E">
            <w:pPr>
              <w:jc w:val="center"/>
            </w:pPr>
            <w:r>
              <w:rPr>
                <w:sz w:val="15"/>
                <w:szCs w:val="15"/>
              </w:rPr>
              <w:t>15%</w:t>
            </w:r>
          </w:p>
        </w:tc>
      </w:tr>
    </w:tbl>
    <w:p w14:paraId="57691769" w14:textId="77777777" w:rsidR="00677C22" w:rsidRDefault="00677C22">
      <w:pPr>
        <w:spacing w:after="80"/>
      </w:pPr>
    </w:p>
    <w:p w14:paraId="75B4012A" w14:textId="77777777" w:rsidR="00677C22" w:rsidRDefault="004D052E">
      <w:pPr>
        <w:keepNext/>
        <w:spacing w:before="80" w:after="40"/>
      </w:pPr>
      <w:r>
        <w:rPr>
          <w:i/>
          <w:iCs/>
        </w:rPr>
        <w:t>B. Free-Hand Evaluation Engine</w:t>
      </w:r>
    </w:p>
    <w:p w14:paraId="159DA94A" w14:textId="77777777" w:rsidR="00677C22" w:rsidRDefault="004D052E">
      <w:pPr>
        <w:ind w:firstLine="288"/>
        <w:jc w:val="both"/>
      </w:pPr>
      <w:r>
        <w:t xml:space="preserve">For reagent </w:t>
      </w:r>
      <w:r>
        <w:rPr>
          <w:i/>
          <w:iCs/>
        </w:rPr>
        <w:t>i</w:t>
      </w:r>
      <w:r>
        <w:t xml:space="preserve"> with target T</w:t>
      </w:r>
      <w:r>
        <w:rPr>
          <w:vertAlign w:val="subscript"/>
        </w:rPr>
        <w:t>i</w:t>
      </w:r>
      <w:r>
        <w:t>, tolerance τ</w:t>
      </w:r>
      <w:r>
        <w:rPr>
          <w:vertAlign w:val="subscript"/>
        </w:rPr>
        <w:t>i</w:t>
      </w:r>
      <w:r>
        <w:t xml:space="preserve"> and difficulty scale </w:t>
      </w:r>
      <w:r>
        <w:rPr>
          <w:i/>
          <w:iCs/>
        </w:rPr>
        <w:t>s</w:t>
      </w:r>
      <w:r>
        <w:t xml:space="preserve"> (1.5 Guided, 1.0 Standard, 0.6 Expert) the accepted range is</w:t>
      </w:r>
    </w:p>
    <w:p w14:paraId="5C742744" w14:textId="77777777" w:rsidR="00677C22" w:rsidRDefault="004D052E">
      <w:pPr>
        <w:tabs>
          <w:tab w:val="center" w:pos="2520"/>
          <w:tab w:val="right" w:pos="5040"/>
        </w:tabs>
        <w:spacing w:before="40" w:after="40"/>
      </w:pPr>
      <w:r>
        <w:tab/>
      </w:r>
      <w:r>
        <w:rPr>
          <w:i/>
          <w:iCs/>
        </w:rPr>
        <w:t>q</w:t>
      </w:r>
      <w:r>
        <w:rPr>
          <w:i/>
          <w:iCs/>
          <w:vertAlign w:val="subscript"/>
        </w:rPr>
        <w:t>i</w:t>
      </w:r>
      <w:r>
        <w:rPr>
          <w:i/>
          <w:iCs/>
        </w:rPr>
        <w:t xml:space="preserve"> ∈ [ T</w:t>
      </w:r>
      <w:r>
        <w:rPr>
          <w:i/>
          <w:iCs/>
          <w:vertAlign w:val="subscript"/>
        </w:rPr>
        <w:t>i</w:t>
      </w:r>
      <w:r>
        <w:rPr>
          <w:i/>
          <w:iCs/>
        </w:rPr>
        <w:t>(1 − sτ</w:t>
      </w:r>
      <w:r>
        <w:rPr>
          <w:i/>
          <w:iCs/>
          <w:vertAlign w:val="subscript"/>
        </w:rPr>
        <w:t>i</w:t>
      </w:r>
      <w:r>
        <w:rPr>
          <w:i/>
          <w:iCs/>
        </w:rPr>
        <w:t>/100),  T</w:t>
      </w:r>
      <w:r>
        <w:rPr>
          <w:i/>
          <w:iCs/>
          <w:vertAlign w:val="subscript"/>
        </w:rPr>
        <w:t>i</w:t>
      </w:r>
      <w:r>
        <w:rPr>
          <w:i/>
          <w:iCs/>
        </w:rPr>
        <w:t>(1 + sτ</w:t>
      </w:r>
      <w:r>
        <w:rPr>
          <w:i/>
          <w:iCs/>
          <w:vertAlign w:val="subscript"/>
        </w:rPr>
        <w:t>i</w:t>
      </w:r>
      <w:r>
        <w:rPr>
          <w:i/>
          <w:iCs/>
        </w:rPr>
        <w:t>/100) ]</w:t>
      </w:r>
      <w:r>
        <w:tab/>
        <w:t>(1)</w:t>
      </w:r>
    </w:p>
    <w:p w14:paraId="6F133C0F" w14:textId="77777777" w:rsidR="00677C22" w:rsidRDefault="004D052E">
      <w:pPr>
        <w:ind w:firstLine="288"/>
        <w:jc w:val="both"/>
      </w:pPr>
      <w:r>
        <w:t xml:space="preserve">Liquid quantity is integrated from a tilt-dependent pour rate, solids increase in discrete additions and heating accumulates time over the flame. Every frame, the engine (i) fails with </w:t>
      </w:r>
      <w:r>
        <w:rPr>
          <w:i/>
          <w:iCs/>
        </w:rPr>
        <w:t>WrongOrder</w:t>
      </w:r>
      <w:r>
        <w:t xml:space="preserve"> if a reagent precedes an earlier one; (ii) fails with </w:t>
      </w:r>
      <w:r>
        <w:rPr>
          <w:i/>
          <w:iCs/>
        </w:rPr>
        <w:t>Overdose</w:t>
      </w:r>
      <w:r>
        <w:t xml:space="preserve"> the instant any q</w:t>
      </w:r>
      <w:r>
        <w:rPr>
          <w:vertAlign w:val="subscript"/>
        </w:rPr>
        <w:t>i</w:t>
      </w:r>
      <w:r>
        <w:t xml:space="preserve"> exceeds its upper bound, even mid-pour; (iii) returns </w:t>
      </w:r>
      <w:r>
        <w:rPr>
          <w:i/>
          <w:iCs/>
        </w:rPr>
        <w:t>InProgress</w:t>
      </w:r>
      <w:r>
        <w:t xml:space="preserve"> while pouring or while any reagent is missing; (iv) otherwise accumulates a settle timer</w:t>
      </w:r>
    </w:p>
    <w:p w14:paraId="4FF3FBEA" w14:textId="77777777" w:rsidR="00677C22" w:rsidRDefault="004D052E">
      <w:pPr>
        <w:tabs>
          <w:tab w:val="center" w:pos="2520"/>
          <w:tab w:val="right" w:pos="5040"/>
        </w:tabs>
        <w:spacing w:before="40" w:after="40"/>
      </w:pPr>
      <w:r>
        <w:tab/>
      </w:r>
      <w:r>
        <w:rPr>
          <w:i/>
          <w:iCs/>
        </w:rPr>
        <w:t>t</w:t>
      </w:r>
      <w:r>
        <w:rPr>
          <w:i/>
          <w:iCs/>
          <w:vertAlign w:val="subscript"/>
        </w:rPr>
        <w:t>s</w:t>
      </w:r>
      <w:r>
        <w:rPr>
          <w:i/>
          <w:iCs/>
        </w:rPr>
        <w:t xml:space="preserve"> ← (t</w:t>
      </w:r>
      <w:r>
        <w:rPr>
          <w:i/>
          <w:iCs/>
          <w:vertAlign w:val="subscript"/>
        </w:rPr>
        <w:t>s</w:t>
      </w:r>
      <w:r>
        <w:rPr>
          <w:i/>
          <w:iCs/>
        </w:rPr>
        <w:t xml:space="preserve"> + Δt)·[A(t) ∧ ¬P(t)]</w:t>
      </w:r>
      <w:r>
        <w:tab/>
        <w:t>(2)</w:t>
      </w:r>
    </w:p>
    <w:p w14:paraId="5E143292" w14:textId="77777777" w:rsidR="00677C22" w:rsidRDefault="004D052E">
      <w:pPr>
        <w:ind w:firstLine="288"/>
        <w:jc w:val="both"/>
      </w:pPr>
      <w:r>
        <w:t>where A is true when all reagents are present and P while any pour is active; (v) once t</w:t>
      </w:r>
      <w:r>
        <w:rPr>
          <w:vertAlign w:val="subscript"/>
        </w:rPr>
        <w:t>s</w:t>
      </w:r>
      <w:r>
        <w:t xml:space="preserve"> ≥ 1.5 s it fails with </w:t>
      </w:r>
      <w:r>
        <w:rPr>
          <w:i/>
          <w:iCs/>
        </w:rPr>
        <w:t>Underdose</w:t>
      </w:r>
      <w:r>
        <w:t xml:space="preserve"> if any q</w:t>
      </w:r>
      <w:r>
        <w:rPr>
          <w:vertAlign w:val="subscript"/>
        </w:rPr>
        <w:t>i</w:t>
      </w:r>
      <w:r>
        <w:t xml:space="preserve"> is below range; (vi) checks procedure rules such as fitting the balloon before heating CaCO</w:t>
      </w:r>
      <w:r>
        <w:rPr>
          <w:vertAlign w:val="subscript"/>
        </w:rPr>
        <w:t>3</w:t>
      </w:r>
      <w:r>
        <w:t xml:space="preserve">; and (vii) returns </w:t>
      </w:r>
      <w:r>
        <w:rPr>
          <w:i/>
          <w:iCs/>
        </w:rPr>
        <w:t>Success</w:t>
      </w:r>
      <w:r>
        <w:t>. Judging underdose only after settling prevents a learner who pauses between reagents from being failed unfairly. Fig. 7 shows the resulting state machine. The engine depends on Unity only through the frame time, so the same code judges the practice and the test scenes.</w:t>
      </w:r>
    </w:p>
    <w:p w14:paraId="47E500D4" w14:textId="77777777" w:rsidR="00677C22" w:rsidRDefault="004D052E">
      <w:pPr>
        <w:keepNext/>
        <w:spacing w:before="80" w:after="40"/>
        <w:jc w:val="center"/>
      </w:pPr>
      <w:r>
        <w:rPr>
          <w:noProof/>
        </w:rPr>
        <w:drawing>
          <wp:inline distT="0" distB="0" distL="0" distR="0" wp14:anchorId="1C1B301E" wp14:editId="5A11B28F">
            <wp:extent cx="3095625" cy="2028825"/>
            <wp:effectExtent l="0" t="0" r="0" b="0"/>
            <wp:docPr id="7" name="fig4_4_state.png" descr="Fig. 7. State machine of the free-hand reaction engine." title="fig4_4_st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095625" cy="2028825"/>
                    </a:xfrm>
                    <a:prstGeom prst="rect">
                      <a:avLst/>
                    </a:prstGeom>
                  </pic:spPr>
                </pic:pic>
              </a:graphicData>
            </a:graphic>
          </wp:inline>
        </w:drawing>
      </w:r>
    </w:p>
    <w:p w14:paraId="375D8D2C" w14:textId="77777777" w:rsidR="00677C22" w:rsidRDefault="004D052E">
      <w:pPr>
        <w:spacing w:after="100"/>
        <w:jc w:val="both"/>
      </w:pPr>
      <w:r>
        <w:rPr>
          <w:sz w:val="16"/>
          <w:szCs w:val="16"/>
        </w:rPr>
        <w:t>Fig. 7. State machine of the free-hand reaction engine.</w:t>
      </w:r>
    </w:p>
    <w:p w14:paraId="1AFDA7C1" w14:textId="77777777" w:rsidR="00677C22" w:rsidRDefault="004D052E">
      <w:pPr>
        <w:ind w:firstLine="288"/>
        <w:jc w:val="both"/>
      </w:pPr>
      <w:r>
        <w:lastRenderedPageBreak/>
        <w:t>Fig. 8 plots the resulting accepted deviation for every reagent at the three levels: the Guided level widens each window by half for a first attempt, and the Expert level, unlocked by passing Standard, narrows it to 60 % and hides the targets.</w:t>
      </w:r>
    </w:p>
    <w:p w14:paraId="101957A1" w14:textId="77777777" w:rsidR="00677C22" w:rsidRDefault="004D052E">
      <w:pPr>
        <w:keepNext/>
        <w:spacing w:before="80" w:after="40"/>
        <w:jc w:val="center"/>
      </w:pPr>
      <w:r>
        <w:rPr>
          <w:noProof/>
        </w:rPr>
        <w:drawing>
          <wp:inline distT="0" distB="0" distL="0" distR="0" wp14:anchorId="73FBF29C" wp14:editId="239742A2">
            <wp:extent cx="3095625" cy="1800225"/>
            <wp:effectExtent l="0" t="0" r="0" b="0"/>
            <wp:docPr id="8" name="fig5_4_tolerance.png" descr="Fig. 8. Accepted deviation per reagent at Guided, Standard and Expert levels." title="fig5_4_toler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095625" cy="1800225"/>
                    </a:xfrm>
                    <a:prstGeom prst="rect">
                      <a:avLst/>
                    </a:prstGeom>
                  </pic:spPr>
                </pic:pic>
              </a:graphicData>
            </a:graphic>
          </wp:inline>
        </w:drawing>
      </w:r>
    </w:p>
    <w:p w14:paraId="37437E07" w14:textId="77777777" w:rsidR="00677C22" w:rsidRDefault="004D052E">
      <w:pPr>
        <w:spacing w:after="100"/>
        <w:jc w:val="both"/>
      </w:pPr>
      <w:r>
        <w:rPr>
          <w:sz w:val="16"/>
          <w:szCs w:val="16"/>
        </w:rPr>
        <w:t>Fig. 8. Accepted deviation per reagent at Guided, Standard and Expert levels.</w:t>
      </w:r>
    </w:p>
    <w:p w14:paraId="33469169" w14:textId="77777777" w:rsidR="00677C22" w:rsidRDefault="004D052E">
      <w:pPr>
        <w:keepNext/>
        <w:spacing w:before="80" w:after="40"/>
      </w:pPr>
      <w:r>
        <w:rPr>
          <w:i/>
          <w:iCs/>
        </w:rPr>
        <w:t>C. Accuracy and Star Model</w:t>
      </w:r>
    </w:p>
    <w:p w14:paraId="35452BD5" w14:textId="77777777" w:rsidR="00677C22" w:rsidRDefault="004D052E">
      <w:pPr>
        <w:ind w:firstLine="288"/>
        <w:jc w:val="both"/>
      </w:pPr>
      <w:r>
        <w:t>Each reagent's accuracy falls linearly from 1 on target to 0 at the edge of its Standard range, and the attempt scores its worst reagent:</w:t>
      </w:r>
    </w:p>
    <w:p w14:paraId="39AF572E" w14:textId="77777777" w:rsidR="00677C22" w:rsidRDefault="004D052E">
      <w:pPr>
        <w:tabs>
          <w:tab w:val="center" w:pos="2520"/>
          <w:tab w:val="right" w:pos="5040"/>
        </w:tabs>
        <w:spacing w:before="40" w:after="40"/>
      </w:pPr>
      <w:r>
        <w:tab/>
      </w:r>
      <w:r>
        <w:rPr>
          <w:i/>
          <w:iCs/>
        </w:rPr>
        <w:t>a</w:t>
      </w:r>
      <w:r>
        <w:rPr>
          <w:i/>
          <w:iCs/>
          <w:vertAlign w:val="subscript"/>
        </w:rPr>
        <w:t>i</w:t>
      </w:r>
      <w:r>
        <w:rPr>
          <w:i/>
          <w:iCs/>
        </w:rPr>
        <w:t xml:space="preserve"> = clamp(1 − |q</w:t>
      </w:r>
      <w:r>
        <w:rPr>
          <w:i/>
          <w:iCs/>
          <w:vertAlign w:val="subscript"/>
        </w:rPr>
        <w:t>i</w:t>
      </w:r>
      <w:r>
        <w:rPr>
          <w:i/>
          <w:iCs/>
        </w:rPr>
        <w:t xml:space="preserve"> − T</w:t>
      </w:r>
      <w:r>
        <w:rPr>
          <w:i/>
          <w:iCs/>
          <w:vertAlign w:val="subscript"/>
        </w:rPr>
        <w:t>i</w:t>
      </w:r>
      <w:r>
        <w:rPr>
          <w:i/>
          <w:iCs/>
        </w:rPr>
        <w:t>| / (T</w:t>
      </w:r>
      <w:r>
        <w:rPr>
          <w:i/>
          <w:iCs/>
          <w:vertAlign w:val="subscript"/>
        </w:rPr>
        <w:t>i</w:t>
      </w:r>
      <w:r>
        <w:rPr>
          <w:i/>
          <w:iCs/>
        </w:rPr>
        <w:t>τ</w:t>
      </w:r>
      <w:r>
        <w:rPr>
          <w:i/>
          <w:iCs/>
          <w:vertAlign w:val="subscript"/>
        </w:rPr>
        <w:t>i</w:t>
      </w:r>
      <w:r>
        <w:rPr>
          <w:i/>
          <w:iCs/>
        </w:rPr>
        <w:t>/100), 0, 1),   A = 100·min</w:t>
      </w:r>
      <w:r>
        <w:rPr>
          <w:i/>
          <w:iCs/>
          <w:vertAlign w:val="subscript"/>
        </w:rPr>
        <w:t>i</w:t>
      </w:r>
      <w:r>
        <w:rPr>
          <w:i/>
          <w:iCs/>
        </w:rPr>
        <w:t xml:space="preserve"> a</w:t>
      </w:r>
      <w:r>
        <w:rPr>
          <w:i/>
          <w:iCs/>
          <w:vertAlign w:val="subscript"/>
        </w:rPr>
        <w:t>i</w:t>
      </w:r>
      <w:r>
        <w:tab/>
        <w:t>(3)</w:t>
      </w:r>
    </w:p>
    <w:p w14:paraId="16B06085" w14:textId="77777777" w:rsidR="00677C22" w:rsidRDefault="004D052E">
      <w:pPr>
        <w:ind w:firstLine="288"/>
        <w:jc w:val="both"/>
      </w:pPr>
      <w:r>
        <w:t>Three stars require A ≥ 60, two require A ≥ 25, and any success earns at least one. The minimum, rather than the mean, prevents a careful measurement from hiding a careless one and prevents fixed-mass solids from inflating the score; using the Standard range on every level keeps stars comparable (Fig. 9).</w:t>
      </w:r>
    </w:p>
    <w:p w14:paraId="07739BDF" w14:textId="77777777" w:rsidR="00677C22" w:rsidRDefault="004D052E">
      <w:pPr>
        <w:keepNext/>
        <w:spacing w:before="80" w:after="40"/>
        <w:jc w:val="center"/>
      </w:pPr>
      <w:r>
        <w:rPr>
          <w:noProof/>
        </w:rPr>
        <w:drawing>
          <wp:inline distT="0" distB="0" distL="0" distR="0" wp14:anchorId="7CE41358" wp14:editId="54C716A5">
            <wp:extent cx="2895600" cy="1619250"/>
            <wp:effectExtent l="0" t="0" r="0" b="0"/>
            <wp:docPr id="9" name="fig5_3_accuracy.png" descr="Fig. 9. Accuracy function and star bands for H_{2}SO_{4} in reaction 2 (accepted 18.4-21.6 ml)." title="fig5_3_accurac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895600" cy="1619250"/>
                    </a:xfrm>
                    <a:prstGeom prst="rect">
                      <a:avLst/>
                    </a:prstGeom>
                  </pic:spPr>
                </pic:pic>
              </a:graphicData>
            </a:graphic>
          </wp:inline>
        </w:drawing>
      </w:r>
    </w:p>
    <w:p w14:paraId="792F6D69" w14:textId="77777777" w:rsidR="00677C22" w:rsidRDefault="004D052E">
      <w:pPr>
        <w:spacing w:after="100"/>
        <w:jc w:val="both"/>
      </w:pPr>
      <w:r>
        <w:rPr>
          <w:sz w:val="16"/>
          <w:szCs w:val="16"/>
        </w:rPr>
        <w:t>Fig. 9. Accuracy function and star bands for H</w:t>
      </w:r>
      <w:r>
        <w:rPr>
          <w:sz w:val="16"/>
          <w:szCs w:val="16"/>
          <w:vertAlign w:val="subscript"/>
        </w:rPr>
        <w:t>2</w:t>
      </w:r>
      <w:r>
        <w:rPr>
          <w:sz w:val="16"/>
          <w:szCs w:val="16"/>
        </w:rPr>
        <w:t>SO</w:t>
      </w:r>
      <w:r>
        <w:rPr>
          <w:sz w:val="16"/>
          <w:szCs w:val="16"/>
          <w:vertAlign w:val="subscript"/>
        </w:rPr>
        <w:t>4</w:t>
      </w:r>
      <w:r>
        <w:rPr>
          <w:sz w:val="16"/>
          <w:szCs w:val="16"/>
        </w:rPr>
        <w:t xml:space="preserve"> in reaction 2 (accepted 18.4-21.6 ml).</w:t>
      </w:r>
    </w:p>
    <w:p w14:paraId="2B854637" w14:textId="77777777" w:rsidR="00677C22" w:rsidRDefault="004D052E">
      <w:pPr>
        <w:keepNext/>
        <w:spacing w:before="80" w:after="40"/>
      </w:pPr>
      <w:r>
        <w:rPr>
          <w:i/>
          <w:iCs/>
        </w:rPr>
        <w:t>D. Context-Aware Assistant with Offline Fallback</w:t>
      </w:r>
    </w:p>
    <w:p w14:paraId="32E36334" w14:textId="77777777" w:rsidR="00677C22" w:rsidRDefault="004D052E">
      <w:pPr>
        <w:ind w:firstLine="288"/>
        <w:jc w:val="both"/>
      </w:pPr>
      <w:r>
        <w:t>Questions arrive by push-to-talk, typing, a one-key "why did it fail" shortcut, or Ask-AI buttons on graphs and animations. Each is sent with the current reaction, quantities, targets, verdict and attempt counts (Fig. 10). When credentials and network are available, the Convai character endpoint returns text and speech [18]. Otherwise a grounded knowledge base classifies the question by keyword scores S</w:t>
      </w:r>
      <w:r>
        <w:rPr>
          <w:vertAlign w:val="subscript"/>
        </w:rPr>
        <w:t>k</w:t>
      </w:r>
      <w:r>
        <w:t>(q),</w:t>
      </w:r>
    </w:p>
    <w:p w14:paraId="586196B5" w14:textId="77777777" w:rsidR="00677C22" w:rsidRDefault="004D052E">
      <w:pPr>
        <w:tabs>
          <w:tab w:val="center" w:pos="2520"/>
          <w:tab w:val="right" w:pos="5040"/>
        </w:tabs>
        <w:spacing w:before="40" w:after="40"/>
      </w:pPr>
      <w:r>
        <w:tab/>
      </w:r>
      <w:r>
        <w:rPr>
          <w:i/>
          <w:iCs/>
        </w:rPr>
        <w:t>k* = argmax</w:t>
      </w:r>
      <w:r>
        <w:rPr>
          <w:i/>
          <w:iCs/>
          <w:vertAlign w:val="subscript"/>
        </w:rPr>
        <w:t>k</w:t>
      </w:r>
      <w:r>
        <w:rPr>
          <w:i/>
          <w:iCs/>
        </w:rPr>
        <w:t xml:space="preserve"> S</w:t>
      </w:r>
      <w:r>
        <w:rPr>
          <w:i/>
          <w:iCs/>
          <w:vertAlign w:val="subscript"/>
        </w:rPr>
        <w:t>k</w:t>
      </w:r>
      <w:r>
        <w:rPr>
          <w:i/>
          <w:iCs/>
        </w:rPr>
        <w:t>(q)   (Overview if all S</w:t>
      </w:r>
      <w:r>
        <w:rPr>
          <w:i/>
          <w:iCs/>
          <w:vertAlign w:val="subscript"/>
        </w:rPr>
        <w:t>k</w:t>
      </w:r>
      <w:r>
        <w:rPr>
          <w:i/>
          <w:iCs/>
        </w:rPr>
        <w:t xml:space="preserve"> = 0)</w:t>
      </w:r>
      <w:r>
        <w:tab/>
        <w:t>(4)</w:t>
      </w:r>
    </w:p>
    <w:p w14:paraId="32DF8F45" w14:textId="77777777" w:rsidR="00677C22" w:rsidRDefault="004D052E">
      <w:pPr>
        <w:ind w:firstLine="288"/>
        <w:jc w:val="both"/>
      </w:pPr>
      <w:r>
        <w:t xml:space="preserve">over intents such as </w:t>
      </w:r>
      <w:r>
        <w:rPr>
          <w:i/>
          <w:iCs/>
        </w:rPr>
        <w:t>WhyFailed</w:t>
      </w:r>
      <w:r>
        <w:t xml:space="preserve">, </w:t>
      </w:r>
      <w:r>
        <w:rPr>
          <w:i/>
          <w:iCs/>
        </w:rPr>
        <w:t>Quantities</w:t>
      </w:r>
      <w:r>
        <w:t xml:space="preserve">, </w:t>
      </w:r>
      <w:r>
        <w:rPr>
          <w:i/>
          <w:iCs/>
        </w:rPr>
        <w:t>Procedure</w:t>
      </w:r>
      <w:r>
        <w:t xml:space="preserve">, </w:t>
      </w:r>
      <w:r>
        <w:rPr>
          <w:i/>
          <w:iCs/>
        </w:rPr>
        <w:t>Molecular</w:t>
      </w:r>
      <w:r>
        <w:t xml:space="preserve">, </w:t>
      </w:r>
      <w:r>
        <w:rPr>
          <w:i/>
          <w:iCs/>
        </w:rPr>
        <w:t>Graphs</w:t>
      </w:r>
      <w:r>
        <w:t xml:space="preserve">, </w:t>
      </w:r>
      <w:r>
        <w:rPr>
          <w:i/>
          <w:iCs/>
        </w:rPr>
        <w:t>Calculation</w:t>
      </w:r>
      <w:r>
        <w:t xml:space="preserve">, </w:t>
      </w:r>
      <w:r>
        <w:rPr>
          <w:i/>
          <w:iCs/>
        </w:rPr>
        <w:t>Safety</w:t>
      </w:r>
      <w:r>
        <w:t xml:space="preserve"> and </w:t>
      </w:r>
      <w:r>
        <w:rPr>
          <w:i/>
          <w:iCs/>
        </w:rPr>
        <w:t>Progress</w:t>
      </w:r>
      <w:r>
        <w:t xml:space="preserve">, and answers from game data, e.g., "you poured 27.4 ml where the </w:t>
      </w:r>
      <w:r>
        <w:t>equation needs 20.0, a 37 % overdose", spoken by the Windows synthesiser. Every exchange is logged with the attempt.</w:t>
      </w:r>
    </w:p>
    <w:p w14:paraId="45882B06" w14:textId="77777777" w:rsidR="00677C22" w:rsidRDefault="004D052E">
      <w:pPr>
        <w:keepNext/>
        <w:spacing w:before="80" w:after="40"/>
        <w:jc w:val="center"/>
      </w:pPr>
      <w:r>
        <w:rPr>
          <w:noProof/>
        </w:rPr>
        <w:drawing>
          <wp:inline distT="0" distB="0" distL="0" distR="0" wp14:anchorId="74BCA58F" wp14:editId="04285531">
            <wp:extent cx="3095625" cy="1457325"/>
            <wp:effectExtent l="0" t="0" r="0" b="0"/>
            <wp:docPr id="10" name="fig5_5_ai.png" descr="Fig. 10. Dual-path routing of assistant questions." title="fig5_5_a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095625" cy="1457325"/>
                    </a:xfrm>
                    <a:prstGeom prst="rect">
                      <a:avLst/>
                    </a:prstGeom>
                  </pic:spPr>
                </pic:pic>
              </a:graphicData>
            </a:graphic>
          </wp:inline>
        </w:drawing>
      </w:r>
    </w:p>
    <w:p w14:paraId="13E760AC" w14:textId="77777777" w:rsidR="00677C22" w:rsidRDefault="004D052E">
      <w:pPr>
        <w:spacing w:after="100"/>
        <w:jc w:val="both"/>
      </w:pPr>
      <w:r>
        <w:rPr>
          <w:sz w:val="16"/>
          <w:szCs w:val="16"/>
        </w:rPr>
        <w:t>Fig. 10. Dual-path routing of assistant questions.</w:t>
      </w:r>
    </w:p>
    <w:p w14:paraId="2E7451A5" w14:textId="77777777" w:rsidR="00677C22" w:rsidRDefault="004D052E">
      <w:pPr>
        <w:keepNext/>
        <w:spacing w:before="80" w:after="40"/>
      </w:pPr>
      <w:r>
        <w:rPr>
          <w:i/>
          <w:iCs/>
        </w:rPr>
        <w:t>E. Thermodynamics, History and Assessment</w:t>
      </w:r>
    </w:p>
    <w:p w14:paraId="3F6CF265" w14:textId="77777777" w:rsidR="00677C22" w:rsidRDefault="004D052E">
      <w:pPr>
        <w:ind w:firstLine="288"/>
        <w:jc w:val="both"/>
      </w:pPr>
      <w:r>
        <w:t>A catalog stores ΔH, E</w:t>
      </w:r>
      <w:r>
        <w:rPr>
          <w:vertAlign w:val="subscript"/>
        </w:rPr>
        <w:t>a</w:t>
      </w:r>
      <w:r>
        <w:t xml:space="preserve"> and ΔS for each reaction and derives ΔG(T) = ΔH − TΔS/1000, crossover temperature T* = 1000ΔH/ΔS and reverse barrier E</w:t>
      </w:r>
      <w:r>
        <w:rPr>
          <w:vertAlign w:val="subscript"/>
        </w:rPr>
        <w:t>a</w:t>
      </w:r>
      <w:r>
        <w:t xml:space="preserve"> − ΔH for the energy-profile, enthalpy and entropy graphs. Attempts (quantities, steps, outcome, accuracy, AI log) are stored as JSON, capped at 300. The test scene draws 3-18 tasks from 8 practical and 10 theory items; practical tasks use the same engine with hidden targets. Coins (5-100 per task by time left, with streak and first-clear bonuses) persist across sessions, buy hints (procedure only), extra time or skips, and determine ranks at 0/500/1500/3500/7000 lifetime coins; each run exports an HTML and</w:t>
      </w:r>
      <w:r>
        <w:t xml:space="preserve"> CSV report.</w:t>
      </w:r>
    </w:p>
    <w:p w14:paraId="519BE328" w14:textId="77777777" w:rsidR="00677C22" w:rsidRDefault="004D052E">
      <w:pPr>
        <w:ind w:firstLine="288"/>
        <w:jc w:val="both"/>
      </w:pPr>
      <w:r>
        <w:t>The balance and rank follow B = max(0, L − S) and rank = max{r : L ≥ θ</w:t>
      </w:r>
      <w:r>
        <w:rPr>
          <w:vertAlign w:val="subscript"/>
        </w:rPr>
        <w:t>r</w:t>
      </w:r>
      <w:r>
        <w:t>}, where L and S are lifetime coins earned and spent; Table III lists the parameters. Hints deliberately reveal the procedure but never the quantity, because the amount is precisely what the test measures.</w:t>
      </w:r>
    </w:p>
    <w:p w14:paraId="646666E5" w14:textId="77777777" w:rsidR="00677C22" w:rsidRDefault="004D052E">
      <w:pPr>
        <w:keepNext/>
        <w:spacing w:before="100"/>
        <w:jc w:val="center"/>
      </w:pPr>
      <w:r>
        <w:rPr>
          <w:smallCaps/>
          <w:sz w:val="16"/>
          <w:szCs w:val="16"/>
        </w:rPr>
        <w:t>TABLE III</w:t>
      </w:r>
    </w:p>
    <w:p w14:paraId="47865893" w14:textId="77777777" w:rsidR="00677C22" w:rsidRDefault="004D052E">
      <w:pPr>
        <w:keepNext/>
        <w:spacing w:after="60"/>
        <w:jc w:val="center"/>
      </w:pPr>
      <w:r>
        <w:rPr>
          <w:smallCaps/>
          <w:sz w:val="16"/>
          <w:szCs w:val="16"/>
        </w:rPr>
        <w:t>Assessment Economy Parameters</w:t>
      </w:r>
    </w:p>
    <w:tbl>
      <w:tblPr>
        <w:tblW w:w="50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3480"/>
      </w:tblGrid>
      <w:tr w:rsidR="00677C22" w14:paraId="66727E1E" w14:textId="77777777">
        <w:tblPrEx>
          <w:tblCellMar>
            <w:top w:w="0" w:type="dxa"/>
            <w:bottom w:w="0" w:type="dxa"/>
          </w:tblCellMar>
        </w:tblPrEx>
        <w:trPr>
          <w:tblHeader/>
          <w:jc w:val="center"/>
        </w:trPr>
        <w:tc>
          <w:tcPr>
            <w:tcW w:w="1560" w:type="dxa"/>
            <w:tcBorders>
              <w:top w:val="single" w:sz="4" w:space="0" w:color="000000"/>
              <w:left w:val="single" w:sz="4" w:space="0" w:color="000000"/>
              <w:bottom w:val="single" w:sz="4" w:space="0" w:color="000000"/>
              <w:right w:val="single" w:sz="4" w:space="0" w:color="000000"/>
            </w:tcBorders>
            <w:shd w:val="clear" w:color="auto" w:fill="E7E6E6"/>
            <w:tcMar>
              <w:top w:w="20" w:type="dxa"/>
              <w:left w:w="50" w:type="dxa"/>
              <w:bottom w:w="20" w:type="dxa"/>
              <w:right w:w="50" w:type="dxa"/>
            </w:tcMar>
            <w:vAlign w:val="center"/>
          </w:tcPr>
          <w:p w14:paraId="0800E323" w14:textId="77777777" w:rsidR="00677C22" w:rsidRDefault="004D052E">
            <w:pPr>
              <w:jc w:val="center"/>
            </w:pPr>
            <w:r>
              <w:rPr>
                <w:b/>
                <w:bCs/>
                <w:sz w:val="15"/>
                <w:szCs w:val="15"/>
              </w:rPr>
              <w:t>Parameter</w:t>
            </w:r>
          </w:p>
        </w:tc>
        <w:tc>
          <w:tcPr>
            <w:tcW w:w="3480" w:type="dxa"/>
            <w:tcBorders>
              <w:top w:val="single" w:sz="4" w:space="0" w:color="000000"/>
              <w:left w:val="single" w:sz="4" w:space="0" w:color="000000"/>
              <w:bottom w:val="single" w:sz="4" w:space="0" w:color="000000"/>
              <w:right w:val="single" w:sz="4" w:space="0" w:color="000000"/>
            </w:tcBorders>
            <w:shd w:val="clear" w:color="auto" w:fill="E7E6E6"/>
            <w:tcMar>
              <w:top w:w="20" w:type="dxa"/>
              <w:left w:w="50" w:type="dxa"/>
              <w:bottom w:w="20" w:type="dxa"/>
              <w:right w:w="50" w:type="dxa"/>
            </w:tcMar>
            <w:vAlign w:val="center"/>
          </w:tcPr>
          <w:p w14:paraId="25166020" w14:textId="77777777" w:rsidR="00677C22" w:rsidRDefault="004D052E">
            <w:pPr>
              <w:jc w:val="center"/>
            </w:pPr>
            <w:r>
              <w:rPr>
                <w:b/>
                <w:bCs/>
                <w:sz w:val="15"/>
                <w:szCs w:val="15"/>
              </w:rPr>
              <w:t>Value</w:t>
            </w:r>
          </w:p>
        </w:tc>
      </w:tr>
      <w:tr w:rsidR="00677C22" w14:paraId="208D1B0E" w14:textId="77777777">
        <w:tblPrEx>
          <w:tblCellMar>
            <w:top w:w="0" w:type="dxa"/>
            <w:bottom w:w="0" w:type="dxa"/>
          </w:tblCellMar>
        </w:tblPrEx>
        <w:trPr>
          <w:cantSplit/>
          <w:jc w:val="center"/>
        </w:trPr>
        <w:tc>
          <w:tcPr>
            <w:tcW w:w="156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515D4493" w14:textId="77777777" w:rsidR="00677C22" w:rsidRDefault="004D052E">
            <w:pPr>
              <w:jc w:val="center"/>
            </w:pPr>
            <w:r>
              <w:rPr>
                <w:sz w:val="15"/>
                <w:szCs w:val="15"/>
              </w:rPr>
              <w:t>Task pool</w:t>
            </w:r>
          </w:p>
        </w:tc>
        <w:tc>
          <w:tcPr>
            <w:tcW w:w="348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021CA907" w14:textId="77777777" w:rsidR="00677C22" w:rsidRDefault="004D052E">
            <w:pPr>
              <w:jc w:val="center"/>
            </w:pPr>
            <w:r>
              <w:rPr>
                <w:sz w:val="15"/>
                <w:szCs w:val="15"/>
              </w:rPr>
              <w:t>8 practical + 10 theory (3, 5, 8, 10 or all)</w:t>
            </w:r>
          </w:p>
        </w:tc>
      </w:tr>
      <w:tr w:rsidR="00677C22" w14:paraId="49C6AA07" w14:textId="77777777">
        <w:tblPrEx>
          <w:tblCellMar>
            <w:top w:w="0" w:type="dxa"/>
            <w:bottom w:w="0" w:type="dxa"/>
          </w:tblCellMar>
        </w:tblPrEx>
        <w:trPr>
          <w:cantSplit/>
          <w:jc w:val="center"/>
        </w:trPr>
        <w:tc>
          <w:tcPr>
            <w:tcW w:w="156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6053B3B0" w14:textId="77777777" w:rsidR="00677C22" w:rsidRDefault="004D052E">
            <w:pPr>
              <w:jc w:val="center"/>
            </w:pPr>
            <w:r>
              <w:rPr>
                <w:sz w:val="15"/>
                <w:szCs w:val="15"/>
              </w:rPr>
              <w:t>Earning</w:t>
            </w:r>
          </w:p>
        </w:tc>
        <w:tc>
          <w:tcPr>
            <w:tcW w:w="348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06216259" w14:textId="77777777" w:rsidR="00677C22" w:rsidRDefault="004D052E">
            <w:pPr>
              <w:jc w:val="center"/>
            </w:pPr>
            <w:r>
              <w:rPr>
                <w:sz w:val="15"/>
                <w:szCs w:val="15"/>
              </w:rPr>
              <w:t>5-100 coins per task by time left</w:t>
            </w:r>
          </w:p>
        </w:tc>
      </w:tr>
      <w:tr w:rsidR="00677C22" w14:paraId="40632779" w14:textId="77777777">
        <w:tblPrEx>
          <w:tblCellMar>
            <w:top w:w="0" w:type="dxa"/>
            <w:bottom w:w="0" w:type="dxa"/>
          </w:tblCellMar>
        </w:tblPrEx>
        <w:trPr>
          <w:cantSplit/>
          <w:jc w:val="center"/>
        </w:trPr>
        <w:tc>
          <w:tcPr>
            <w:tcW w:w="156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6575A323" w14:textId="77777777" w:rsidR="00677C22" w:rsidRDefault="004D052E">
            <w:pPr>
              <w:jc w:val="center"/>
            </w:pPr>
            <w:r>
              <w:rPr>
                <w:sz w:val="15"/>
                <w:szCs w:val="15"/>
              </w:rPr>
              <w:t>Bonuses</w:t>
            </w:r>
          </w:p>
        </w:tc>
        <w:tc>
          <w:tcPr>
            <w:tcW w:w="348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6D005253" w14:textId="77777777" w:rsidR="00677C22" w:rsidRDefault="004D052E">
            <w:pPr>
              <w:jc w:val="center"/>
            </w:pPr>
            <w:r>
              <w:rPr>
                <w:sz w:val="15"/>
                <w:szCs w:val="15"/>
              </w:rPr>
              <w:t>First clear +25; streak 3 +30, 5 +60; unaided run +50</w:t>
            </w:r>
          </w:p>
        </w:tc>
      </w:tr>
      <w:tr w:rsidR="00677C22" w14:paraId="29DCEE2C" w14:textId="77777777">
        <w:tblPrEx>
          <w:tblCellMar>
            <w:top w:w="0" w:type="dxa"/>
            <w:bottom w:w="0" w:type="dxa"/>
          </w:tblCellMar>
        </w:tblPrEx>
        <w:trPr>
          <w:cantSplit/>
          <w:jc w:val="center"/>
        </w:trPr>
        <w:tc>
          <w:tcPr>
            <w:tcW w:w="156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36EE2765" w14:textId="77777777" w:rsidR="00677C22" w:rsidRDefault="004D052E">
            <w:pPr>
              <w:jc w:val="center"/>
            </w:pPr>
            <w:r>
              <w:rPr>
                <w:sz w:val="15"/>
                <w:szCs w:val="15"/>
              </w:rPr>
              <w:t>Purchases</w:t>
            </w:r>
          </w:p>
        </w:tc>
        <w:tc>
          <w:tcPr>
            <w:tcW w:w="348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696A30BF" w14:textId="77777777" w:rsidR="00677C22" w:rsidRDefault="004D052E">
            <w:pPr>
              <w:jc w:val="center"/>
            </w:pPr>
            <w:r>
              <w:rPr>
                <w:sz w:val="15"/>
                <w:szCs w:val="15"/>
              </w:rPr>
              <w:t>Hint 40; +30 s 60; skip 100</w:t>
            </w:r>
          </w:p>
        </w:tc>
      </w:tr>
      <w:tr w:rsidR="00677C22" w14:paraId="0A2DC71F" w14:textId="77777777">
        <w:tblPrEx>
          <w:tblCellMar>
            <w:top w:w="0" w:type="dxa"/>
            <w:bottom w:w="0" w:type="dxa"/>
          </w:tblCellMar>
        </w:tblPrEx>
        <w:trPr>
          <w:cantSplit/>
          <w:jc w:val="center"/>
        </w:trPr>
        <w:tc>
          <w:tcPr>
            <w:tcW w:w="156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1BA9DF36" w14:textId="77777777" w:rsidR="00677C22" w:rsidRDefault="004D052E">
            <w:pPr>
              <w:jc w:val="center"/>
            </w:pPr>
            <w:r>
              <w:rPr>
                <w:sz w:val="15"/>
                <w:szCs w:val="15"/>
              </w:rPr>
              <w:t>Ranks (lifetime)</w:t>
            </w:r>
          </w:p>
        </w:tc>
        <w:tc>
          <w:tcPr>
            <w:tcW w:w="348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5EE4CA32" w14:textId="77777777" w:rsidR="00677C22" w:rsidRDefault="004D052E">
            <w:pPr>
              <w:jc w:val="center"/>
            </w:pPr>
            <w:r>
              <w:rPr>
                <w:sz w:val="15"/>
                <w:szCs w:val="15"/>
              </w:rPr>
              <w:t>0 / 500 / 1500 / 3500 / 7000</w:t>
            </w:r>
          </w:p>
        </w:tc>
      </w:tr>
    </w:tbl>
    <w:p w14:paraId="193C9368" w14:textId="77777777" w:rsidR="00677C22" w:rsidRDefault="00677C22">
      <w:pPr>
        <w:spacing w:after="80"/>
      </w:pPr>
    </w:p>
    <w:p w14:paraId="43EFB786" w14:textId="77777777" w:rsidR="00677C22" w:rsidRDefault="004D052E">
      <w:pPr>
        <w:keepNext/>
        <w:spacing w:before="160" w:after="80"/>
        <w:jc w:val="center"/>
      </w:pPr>
      <w:r>
        <w:rPr>
          <w:smallCaps/>
        </w:rPr>
        <w:t>V. Results and Discussion</w:t>
      </w:r>
    </w:p>
    <w:p w14:paraId="5E60791A" w14:textId="77777777" w:rsidR="00677C22" w:rsidRDefault="004D052E">
      <w:pPr>
        <w:keepNext/>
        <w:spacing w:before="80" w:after="40"/>
      </w:pPr>
      <w:r>
        <w:rPr>
          <w:i/>
          <w:iCs/>
        </w:rPr>
        <w:t>A. Implementation and Verification</w:t>
      </w:r>
    </w:p>
    <w:p w14:paraId="3612CA17" w14:textId="77777777" w:rsidR="00677C22" w:rsidRDefault="004D052E">
      <w:pPr>
        <w:ind w:firstLine="288"/>
        <w:jc w:val="both"/>
      </w:pPr>
      <w:r>
        <w:t>The prototype contains 110 C# scripts with 39,601 lines of code, the largest share (15,567 lines in 43 files) in reaction logic. It compiles against the real Unity 6000.3.7f1 assemblies with zero errors and no new warnings. Engine-independent logic was extracted verbatim and executed with a time shim; Table IV and Fig. 11 summarise the suites. The outcome matrix drove every test-scene experiment through correct amounts, overdose, underdose, reversed order and a mid-procedure pause, and confirmed that target</w:t>
      </w:r>
      <w:r>
        <w:t>s are never revealed in the test.</w:t>
      </w:r>
    </w:p>
    <w:p w14:paraId="09DFA090" w14:textId="77777777" w:rsidR="00677C22" w:rsidRDefault="004D052E">
      <w:pPr>
        <w:keepNext/>
        <w:spacing w:before="100"/>
        <w:jc w:val="center"/>
      </w:pPr>
      <w:r>
        <w:rPr>
          <w:smallCaps/>
          <w:sz w:val="16"/>
          <w:szCs w:val="16"/>
        </w:rPr>
        <w:t>TABLE IV</w:t>
      </w:r>
    </w:p>
    <w:p w14:paraId="631F5D5F" w14:textId="77777777" w:rsidR="00677C22" w:rsidRDefault="004D052E">
      <w:pPr>
        <w:keepNext/>
        <w:spacing w:after="60"/>
        <w:jc w:val="center"/>
      </w:pPr>
      <w:r>
        <w:rPr>
          <w:smallCaps/>
          <w:sz w:val="16"/>
          <w:szCs w:val="16"/>
        </w:rPr>
        <w:t>Verification Results</w:t>
      </w:r>
    </w:p>
    <w:tbl>
      <w:tblPr>
        <w:tblW w:w="50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920"/>
      </w:tblGrid>
      <w:tr w:rsidR="00677C22" w14:paraId="07EE865D" w14:textId="77777777">
        <w:tblPrEx>
          <w:tblCellMar>
            <w:top w:w="0" w:type="dxa"/>
            <w:bottom w:w="0" w:type="dxa"/>
          </w:tblCellMar>
        </w:tblPrEx>
        <w:trPr>
          <w:tblHeader/>
          <w:jc w:val="center"/>
        </w:trPr>
        <w:tc>
          <w:tcPr>
            <w:tcW w:w="3120" w:type="dxa"/>
            <w:tcBorders>
              <w:top w:val="single" w:sz="4" w:space="0" w:color="000000"/>
              <w:left w:val="single" w:sz="4" w:space="0" w:color="000000"/>
              <w:bottom w:val="single" w:sz="4" w:space="0" w:color="000000"/>
              <w:right w:val="single" w:sz="4" w:space="0" w:color="000000"/>
            </w:tcBorders>
            <w:shd w:val="clear" w:color="auto" w:fill="E7E6E6"/>
            <w:tcMar>
              <w:top w:w="20" w:type="dxa"/>
              <w:left w:w="50" w:type="dxa"/>
              <w:bottom w:w="20" w:type="dxa"/>
              <w:right w:w="50" w:type="dxa"/>
            </w:tcMar>
            <w:vAlign w:val="center"/>
          </w:tcPr>
          <w:p w14:paraId="454DF408" w14:textId="77777777" w:rsidR="00677C22" w:rsidRDefault="004D052E">
            <w:pPr>
              <w:jc w:val="center"/>
            </w:pPr>
            <w:r>
              <w:rPr>
                <w:b/>
                <w:bCs/>
                <w:sz w:val="15"/>
                <w:szCs w:val="15"/>
              </w:rPr>
              <w:t>Suite</w:t>
            </w:r>
          </w:p>
        </w:tc>
        <w:tc>
          <w:tcPr>
            <w:tcW w:w="1920" w:type="dxa"/>
            <w:tcBorders>
              <w:top w:val="single" w:sz="4" w:space="0" w:color="000000"/>
              <w:left w:val="single" w:sz="4" w:space="0" w:color="000000"/>
              <w:bottom w:val="single" w:sz="4" w:space="0" w:color="000000"/>
              <w:right w:val="single" w:sz="4" w:space="0" w:color="000000"/>
            </w:tcBorders>
            <w:shd w:val="clear" w:color="auto" w:fill="E7E6E6"/>
            <w:tcMar>
              <w:top w:w="20" w:type="dxa"/>
              <w:left w:w="50" w:type="dxa"/>
              <w:bottom w:w="20" w:type="dxa"/>
              <w:right w:w="50" w:type="dxa"/>
            </w:tcMar>
            <w:vAlign w:val="center"/>
          </w:tcPr>
          <w:p w14:paraId="5A97ADAC" w14:textId="77777777" w:rsidR="00677C22" w:rsidRDefault="004D052E">
            <w:pPr>
              <w:jc w:val="center"/>
            </w:pPr>
            <w:r>
              <w:rPr>
                <w:b/>
                <w:bCs/>
                <w:sz w:val="15"/>
                <w:szCs w:val="15"/>
              </w:rPr>
              <w:t>Checks passed</w:t>
            </w:r>
          </w:p>
        </w:tc>
      </w:tr>
      <w:tr w:rsidR="00677C22" w14:paraId="6DE5F580" w14:textId="77777777">
        <w:tblPrEx>
          <w:tblCellMar>
            <w:top w:w="0" w:type="dxa"/>
            <w:bottom w:w="0" w:type="dxa"/>
          </w:tblCellMar>
        </w:tblPrEx>
        <w:trPr>
          <w:cantSplit/>
          <w:jc w:val="center"/>
        </w:trPr>
        <w:tc>
          <w:tcPr>
            <w:tcW w:w="312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64A56052" w14:textId="77777777" w:rsidR="00677C22" w:rsidRDefault="004D052E">
            <w:pPr>
              <w:jc w:val="center"/>
            </w:pPr>
            <w:r>
              <w:rPr>
                <w:sz w:val="15"/>
                <w:szCs w:val="15"/>
              </w:rPr>
              <w:t>Compilation (Unity 6000.3.7f1)</w:t>
            </w:r>
          </w:p>
        </w:tc>
        <w:tc>
          <w:tcPr>
            <w:tcW w:w="192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376D0F05" w14:textId="77777777" w:rsidR="00677C22" w:rsidRDefault="004D052E">
            <w:pPr>
              <w:jc w:val="center"/>
            </w:pPr>
            <w:r>
              <w:rPr>
                <w:sz w:val="15"/>
                <w:szCs w:val="15"/>
              </w:rPr>
              <w:t>0 errors, 0 new warnings</w:t>
            </w:r>
          </w:p>
        </w:tc>
      </w:tr>
      <w:tr w:rsidR="00677C22" w14:paraId="08ECCC1A" w14:textId="77777777">
        <w:tblPrEx>
          <w:tblCellMar>
            <w:top w:w="0" w:type="dxa"/>
            <w:bottom w:w="0" w:type="dxa"/>
          </w:tblCellMar>
        </w:tblPrEx>
        <w:trPr>
          <w:cantSplit/>
          <w:jc w:val="center"/>
        </w:trPr>
        <w:tc>
          <w:tcPr>
            <w:tcW w:w="312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2A0822AB" w14:textId="77777777" w:rsidR="00677C22" w:rsidRDefault="004D052E">
            <w:pPr>
              <w:jc w:val="center"/>
            </w:pPr>
            <w:r>
              <w:rPr>
                <w:sz w:val="15"/>
                <w:szCs w:val="15"/>
              </w:rPr>
              <w:lastRenderedPageBreak/>
              <w:t>Engine outcome matrix (8 test tasks)</w:t>
            </w:r>
          </w:p>
        </w:tc>
        <w:tc>
          <w:tcPr>
            <w:tcW w:w="192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1526B4A5" w14:textId="77777777" w:rsidR="00677C22" w:rsidRDefault="004D052E">
            <w:pPr>
              <w:jc w:val="center"/>
            </w:pPr>
            <w:r>
              <w:rPr>
                <w:sz w:val="15"/>
                <w:szCs w:val="15"/>
              </w:rPr>
              <w:t>111 / 111</w:t>
            </w:r>
          </w:p>
        </w:tc>
      </w:tr>
      <w:tr w:rsidR="00677C22" w14:paraId="3B6FAC72" w14:textId="77777777">
        <w:tblPrEx>
          <w:tblCellMar>
            <w:top w:w="0" w:type="dxa"/>
            <w:bottom w:w="0" w:type="dxa"/>
          </w:tblCellMar>
        </w:tblPrEx>
        <w:trPr>
          <w:cantSplit/>
          <w:jc w:val="center"/>
        </w:trPr>
        <w:tc>
          <w:tcPr>
            <w:tcW w:w="312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7F5EB0B9" w14:textId="77777777" w:rsidR="00677C22" w:rsidRDefault="004D052E">
            <w:pPr>
              <w:jc w:val="center"/>
            </w:pPr>
            <w:r>
              <w:rPr>
                <w:sz w:val="15"/>
                <w:szCs w:val="15"/>
              </w:rPr>
              <w:t>Regression: molecular + offline AI</w:t>
            </w:r>
          </w:p>
        </w:tc>
        <w:tc>
          <w:tcPr>
            <w:tcW w:w="192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6EAE9AA5" w14:textId="77777777" w:rsidR="00677C22" w:rsidRDefault="004D052E">
            <w:pPr>
              <w:jc w:val="center"/>
            </w:pPr>
            <w:r>
              <w:rPr>
                <w:sz w:val="15"/>
                <w:szCs w:val="15"/>
              </w:rPr>
              <w:t>167 / 167</w:t>
            </w:r>
          </w:p>
        </w:tc>
      </w:tr>
      <w:tr w:rsidR="00677C22" w14:paraId="57CF2B06" w14:textId="77777777">
        <w:tblPrEx>
          <w:tblCellMar>
            <w:top w:w="0" w:type="dxa"/>
            <w:bottom w:w="0" w:type="dxa"/>
          </w:tblCellMar>
        </w:tblPrEx>
        <w:trPr>
          <w:cantSplit/>
          <w:jc w:val="center"/>
        </w:trPr>
        <w:tc>
          <w:tcPr>
            <w:tcW w:w="312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463758AC" w14:textId="77777777" w:rsidR="00677C22" w:rsidRDefault="004D052E">
            <w:pPr>
              <w:jc w:val="center"/>
            </w:pPr>
            <w:r>
              <w:rPr>
                <w:sz w:val="15"/>
                <w:szCs w:val="15"/>
              </w:rPr>
              <w:t>Regression: coins + exam report</w:t>
            </w:r>
          </w:p>
        </w:tc>
        <w:tc>
          <w:tcPr>
            <w:tcW w:w="192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54518E5B" w14:textId="77777777" w:rsidR="00677C22" w:rsidRDefault="004D052E">
            <w:pPr>
              <w:jc w:val="center"/>
            </w:pPr>
            <w:r>
              <w:rPr>
                <w:sz w:val="15"/>
                <w:szCs w:val="15"/>
              </w:rPr>
              <w:t>226 / 226</w:t>
            </w:r>
          </w:p>
        </w:tc>
      </w:tr>
      <w:tr w:rsidR="00677C22" w14:paraId="558B2B62" w14:textId="77777777">
        <w:tblPrEx>
          <w:tblCellMar>
            <w:top w:w="0" w:type="dxa"/>
            <w:bottom w:w="0" w:type="dxa"/>
          </w:tblCellMar>
        </w:tblPrEx>
        <w:trPr>
          <w:cantSplit/>
          <w:jc w:val="center"/>
        </w:trPr>
        <w:tc>
          <w:tcPr>
            <w:tcW w:w="312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41B26995" w14:textId="77777777" w:rsidR="00677C22" w:rsidRDefault="004D052E">
            <w:pPr>
              <w:jc w:val="center"/>
            </w:pPr>
            <w:r>
              <w:rPr>
                <w:sz w:val="15"/>
                <w:szCs w:val="15"/>
              </w:rPr>
              <w:t>Synthesised audio</w:t>
            </w:r>
          </w:p>
        </w:tc>
        <w:tc>
          <w:tcPr>
            <w:tcW w:w="192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74896240" w14:textId="77777777" w:rsidR="00677C22" w:rsidRDefault="004D052E">
            <w:pPr>
              <w:jc w:val="center"/>
            </w:pPr>
            <w:r>
              <w:rPr>
                <w:sz w:val="15"/>
                <w:szCs w:val="15"/>
              </w:rPr>
              <w:t>22 / 22</w:t>
            </w:r>
          </w:p>
        </w:tc>
      </w:tr>
    </w:tbl>
    <w:p w14:paraId="570C2B70" w14:textId="77777777" w:rsidR="00677C22" w:rsidRDefault="00677C22">
      <w:pPr>
        <w:spacing w:after="80"/>
      </w:pPr>
    </w:p>
    <w:p w14:paraId="08EB438E" w14:textId="77777777" w:rsidR="00677C22" w:rsidRDefault="004D052E">
      <w:pPr>
        <w:keepNext/>
        <w:spacing w:before="80" w:after="40"/>
        <w:jc w:val="center"/>
      </w:pPr>
      <w:r>
        <w:rPr>
          <w:noProof/>
        </w:rPr>
        <w:drawing>
          <wp:inline distT="0" distB="0" distL="0" distR="0" wp14:anchorId="1A58DE31" wp14:editId="5E50C9C7">
            <wp:extent cx="2981325" cy="1524000"/>
            <wp:effectExtent l="0" t="0" r="0" b="0"/>
            <wp:docPr id="11" name="fig7_1_checks.png" descr="Fig. 11. Automated checks passed per verification suite." title="fig7_1_check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981325" cy="1524000"/>
                    </a:xfrm>
                    <a:prstGeom prst="rect">
                      <a:avLst/>
                    </a:prstGeom>
                  </pic:spPr>
                </pic:pic>
              </a:graphicData>
            </a:graphic>
          </wp:inline>
        </w:drawing>
      </w:r>
    </w:p>
    <w:p w14:paraId="448B4639" w14:textId="77777777" w:rsidR="00677C22" w:rsidRDefault="004D052E">
      <w:pPr>
        <w:spacing w:after="100"/>
        <w:jc w:val="both"/>
      </w:pPr>
      <w:r>
        <w:rPr>
          <w:sz w:val="16"/>
          <w:szCs w:val="16"/>
        </w:rPr>
        <w:t>Fig. 11. Automated checks passed per verification suite.</w:t>
      </w:r>
    </w:p>
    <w:p w14:paraId="2E11D5EB" w14:textId="77777777" w:rsidR="00677C22" w:rsidRDefault="004D052E">
      <w:pPr>
        <w:keepNext/>
        <w:spacing w:before="80" w:after="40"/>
      </w:pPr>
      <w:r>
        <w:rPr>
          <w:i/>
          <w:iCs/>
        </w:rPr>
        <w:t>B. Content Coverage</w:t>
      </w:r>
    </w:p>
    <w:p w14:paraId="7D4870B5" w14:textId="77777777" w:rsidR="00677C22" w:rsidRDefault="004D052E">
      <w:pPr>
        <w:ind w:firstLine="288"/>
        <w:jc w:val="both"/>
      </w:pPr>
      <w:r>
        <w:t>Atomix delivers 8 quantity-aware experiments, 10 theory questions (18 task types), live 3D animations for 8/8 reactions plus 7 recorded clips, 6 reaction categories, 13 achievements and a 118-element interactive periodic table. Tolerance windows range from ±3 % (Expert, alkali metals) to ±22.5 % (Guided, heating).</w:t>
      </w:r>
    </w:p>
    <w:p w14:paraId="5F18D5E0" w14:textId="77777777" w:rsidR="00677C22" w:rsidRDefault="004D052E">
      <w:pPr>
        <w:keepNext/>
        <w:spacing w:before="80" w:after="40"/>
      </w:pPr>
      <w:r>
        <w:rPr>
          <w:i/>
          <w:iCs/>
        </w:rPr>
        <w:t>C. Scientific Consistency</w:t>
      </w:r>
    </w:p>
    <w:p w14:paraId="56D1D19C" w14:textId="77777777" w:rsidR="00677C22" w:rsidRDefault="004D052E">
      <w:pPr>
        <w:ind w:firstLine="288"/>
        <w:jc w:val="both"/>
      </w:pPr>
      <w:r>
        <w:t>Table V lists the thermodynamic data and ΔG at 298.15 K computed from it (Figs. 12 and 13). Only the two thermal decompositions have positive ΔG at room temperature, which is exactly why they are the experiments requiring the burner; their crossover temperatures are about 1110 K and 901 K. Reaction 3 is endothermic yet spontaneous through its entropy gain, a ready classroom example, and the alkali-metal reactions combine very small barriers with large exothermicity, matching their violence on contact with w</w:t>
      </w:r>
      <w:r>
        <w:t>ater.</w:t>
      </w:r>
    </w:p>
    <w:p w14:paraId="4A632257" w14:textId="77777777" w:rsidR="00677C22" w:rsidRDefault="004D052E">
      <w:pPr>
        <w:keepNext/>
        <w:spacing w:before="100"/>
        <w:jc w:val="center"/>
      </w:pPr>
      <w:r>
        <w:rPr>
          <w:smallCaps/>
          <w:sz w:val="16"/>
          <w:szCs w:val="16"/>
        </w:rPr>
        <w:t>TABLE V</w:t>
      </w:r>
    </w:p>
    <w:p w14:paraId="5829472F" w14:textId="77777777" w:rsidR="00677C22" w:rsidRDefault="004D052E">
      <w:pPr>
        <w:keepNext/>
        <w:spacing w:after="60"/>
        <w:jc w:val="center"/>
      </w:pPr>
      <w:r>
        <w:rPr>
          <w:smallCaps/>
          <w:sz w:val="16"/>
          <w:szCs w:val="16"/>
        </w:rPr>
        <w:t>Thermodynamic Data and Derived Gibbs Energy</w:t>
      </w:r>
    </w:p>
    <w:tbl>
      <w:tblPr>
        <w:tblW w:w="50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1200"/>
        <w:gridCol w:w="960"/>
        <w:gridCol w:w="1200"/>
        <w:gridCol w:w="1200"/>
      </w:tblGrid>
      <w:tr w:rsidR="00677C22" w14:paraId="0E8D1C55" w14:textId="77777777">
        <w:tblPrEx>
          <w:tblCellMar>
            <w:top w:w="0" w:type="dxa"/>
            <w:bottom w:w="0" w:type="dxa"/>
          </w:tblCellMar>
        </w:tblPrEx>
        <w:trPr>
          <w:tblHeader/>
          <w:jc w:val="center"/>
        </w:trPr>
        <w:tc>
          <w:tcPr>
            <w:tcW w:w="480" w:type="dxa"/>
            <w:tcBorders>
              <w:top w:val="single" w:sz="4" w:space="0" w:color="000000"/>
              <w:left w:val="single" w:sz="4" w:space="0" w:color="000000"/>
              <w:bottom w:val="single" w:sz="4" w:space="0" w:color="000000"/>
              <w:right w:val="single" w:sz="4" w:space="0" w:color="000000"/>
            </w:tcBorders>
            <w:shd w:val="clear" w:color="auto" w:fill="E7E6E6"/>
            <w:tcMar>
              <w:top w:w="20" w:type="dxa"/>
              <w:left w:w="50" w:type="dxa"/>
              <w:bottom w:w="20" w:type="dxa"/>
              <w:right w:w="50" w:type="dxa"/>
            </w:tcMar>
            <w:vAlign w:val="center"/>
          </w:tcPr>
          <w:p w14:paraId="429CBF46" w14:textId="77777777" w:rsidR="00677C22" w:rsidRDefault="004D052E">
            <w:pPr>
              <w:jc w:val="center"/>
            </w:pPr>
            <w:r>
              <w:rPr>
                <w:b/>
                <w:bCs/>
                <w:sz w:val="15"/>
                <w:szCs w:val="15"/>
              </w:rPr>
              <w:t>#</w:t>
            </w:r>
          </w:p>
        </w:tc>
        <w:tc>
          <w:tcPr>
            <w:tcW w:w="1200" w:type="dxa"/>
            <w:tcBorders>
              <w:top w:val="single" w:sz="4" w:space="0" w:color="000000"/>
              <w:left w:val="single" w:sz="4" w:space="0" w:color="000000"/>
              <w:bottom w:val="single" w:sz="4" w:space="0" w:color="000000"/>
              <w:right w:val="single" w:sz="4" w:space="0" w:color="000000"/>
            </w:tcBorders>
            <w:shd w:val="clear" w:color="auto" w:fill="E7E6E6"/>
            <w:tcMar>
              <w:top w:w="20" w:type="dxa"/>
              <w:left w:w="50" w:type="dxa"/>
              <w:bottom w:w="20" w:type="dxa"/>
              <w:right w:w="50" w:type="dxa"/>
            </w:tcMar>
            <w:vAlign w:val="center"/>
          </w:tcPr>
          <w:p w14:paraId="1262BB2C" w14:textId="77777777" w:rsidR="00677C22" w:rsidRDefault="004D052E">
            <w:pPr>
              <w:jc w:val="center"/>
            </w:pPr>
            <w:r>
              <w:rPr>
                <w:b/>
                <w:bCs/>
                <w:sz w:val="15"/>
                <w:szCs w:val="15"/>
              </w:rPr>
              <w:t>ΔH</w:t>
            </w:r>
          </w:p>
        </w:tc>
        <w:tc>
          <w:tcPr>
            <w:tcW w:w="960" w:type="dxa"/>
            <w:tcBorders>
              <w:top w:val="single" w:sz="4" w:space="0" w:color="000000"/>
              <w:left w:val="single" w:sz="4" w:space="0" w:color="000000"/>
              <w:bottom w:val="single" w:sz="4" w:space="0" w:color="000000"/>
              <w:right w:val="single" w:sz="4" w:space="0" w:color="000000"/>
            </w:tcBorders>
            <w:shd w:val="clear" w:color="auto" w:fill="E7E6E6"/>
            <w:tcMar>
              <w:top w:w="20" w:type="dxa"/>
              <w:left w:w="50" w:type="dxa"/>
              <w:bottom w:w="20" w:type="dxa"/>
              <w:right w:w="50" w:type="dxa"/>
            </w:tcMar>
            <w:vAlign w:val="center"/>
          </w:tcPr>
          <w:p w14:paraId="70B3392F" w14:textId="77777777" w:rsidR="00677C22" w:rsidRDefault="004D052E">
            <w:pPr>
              <w:jc w:val="center"/>
            </w:pPr>
            <w:r>
              <w:rPr>
                <w:b/>
                <w:bCs/>
                <w:sz w:val="15"/>
                <w:szCs w:val="15"/>
              </w:rPr>
              <w:t>E</w:t>
            </w:r>
            <w:r>
              <w:rPr>
                <w:b/>
                <w:bCs/>
                <w:sz w:val="15"/>
                <w:szCs w:val="15"/>
                <w:vertAlign w:val="subscript"/>
              </w:rPr>
              <w:t>a</w:t>
            </w:r>
          </w:p>
        </w:tc>
        <w:tc>
          <w:tcPr>
            <w:tcW w:w="1200" w:type="dxa"/>
            <w:tcBorders>
              <w:top w:val="single" w:sz="4" w:space="0" w:color="000000"/>
              <w:left w:val="single" w:sz="4" w:space="0" w:color="000000"/>
              <w:bottom w:val="single" w:sz="4" w:space="0" w:color="000000"/>
              <w:right w:val="single" w:sz="4" w:space="0" w:color="000000"/>
            </w:tcBorders>
            <w:shd w:val="clear" w:color="auto" w:fill="E7E6E6"/>
            <w:tcMar>
              <w:top w:w="20" w:type="dxa"/>
              <w:left w:w="50" w:type="dxa"/>
              <w:bottom w:w="20" w:type="dxa"/>
              <w:right w:w="50" w:type="dxa"/>
            </w:tcMar>
            <w:vAlign w:val="center"/>
          </w:tcPr>
          <w:p w14:paraId="26A5B4BD" w14:textId="77777777" w:rsidR="00677C22" w:rsidRDefault="004D052E">
            <w:pPr>
              <w:jc w:val="center"/>
            </w:pPr>
            <w:r>
              <w:rPr>
                <w:b/>
                <w:bCs/>
                <w:sz w:val="15"/>
                <w:szCs w:val="15"/>
              </w:rPr>
              <w:t>ΔS</w:t>
            </w:r>
          </w:p>
        </w:tc>
        <w:tc>
          <w:tcPr>
            <w:tcW w:w="1200" w:type="dxa"/>
            <w:tcBorders>
              <w:top w:val="single" w:sz="4" w:space="0" w:color="000000"/>
              <w:left w:val="single" w:sz="4" w:space="0" w:color="000000"/>
              <w:bottom w:val="single" w:sz="4" w:space="0" w:color="000000"/>
              <w:right w:val="single" w:sz="4" w:space="0" w:color="000000"/>
            </w:tcBorders>
            <w:shd w:val="clear" w:color="auto" w:fill="E7E6E6"/>
            <w:tcMar>
              <w:top w:w="20" w:type="dxa"/>
              <w:left w:w="50" w:type="dxa"/>
              <w:bottom w:w="20" w:type="dxa"/>
              <w:right w:w="50" w:type="dxa"/>
            </w:tcMar>
            <w:vAlign w:val="center"/>
          </w:tcPr>
          <w:p w14:paraId="3E138975" w14:textId="77777777" w:rsidR="00677C22" w:rsidRDefault="004D052E">
            <w:pPr>
              <w:jc w:val="center"/>
            </w:pPr>
            <w:r>
              <w:rPr>
                <w:b/>
                <w:bCs/>
                <w:sz w:val="15"/>
                <w:szCs w:val="15"/>
              </w:rPr>
              <w:t>ΔG</w:t>
            </w:r>
            <w:r>
              <w:rPr>
                <w:b/>
                <w:bCs/>
                <w:sz w:val="15"/>
                <w:szCs w:val="15"/>
                <w:vertAlign w:val="subscript"/>
              </w:rPr>
              <w:t>298</w:t>
            </w:r>
          </w:p>
        </w:tc>
      </w:tr>
      <w:tr w:rsidR="00677C22" w14:paraId="2B610923" w14:textId="77777777">
        <w:tblPrEx>
          <w:tblCellMar>
            <w:top w:w="0" w:type="dxa"/>
            <w:bottom w:w="0" w:type="dxa"/>
          </w:tblCellMar>
        </w:tblPrEx>
        <w:trPr>
          <w:cantSplit/>
          <w:jc w:val="center"/>
        </w:trPr>
        <w:tc>
          <w:tcPr>
            <w:tcW w:w="48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56849FA7" w14:textId="77777777" w:rsidR="00677C22" w:rsidRDefault="004D052E">
            <w:pPr>
              <w:jc w:val="center"/>
            </w:pPr>
            <w:r>
              <w:rPr>
                <w:sz w:val="15"/>
                <w:szCs w:val="15"/>
              </w:rPr>
              <w:t>1</w:t>
            </w:r>
          </w:p>
        </w:tc>
        <w:tc>
          <w:tcPr>
            <w:tcW w:w="12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38ED9B0A" w14:textId="77777777" w:rsidR="00677C22" w:rsidRDefault="004D052E">
            <w:pPr>
              <w:jc w:val="center"/>
            </w:pPr>
            <w:r>
              <w:rPr>
                <w:sz w:val="15"/>
                <w:szCs w:val="15"/>
              </w:rPr>
              <w:t>−368.6</w:t>
            </w:r>
          </w:p>
        </w:tc>
        <w:tc>
          <w:tcPr>
            <w:tcW w:w="96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0E61B284" w14:textId="77777777" w:rsidR="00677C22" w:rsidRDefault="004D052E">
            <w:pPr>
              <w:jc w:val="center"/>
            </w:pPr>
            <w:r>
              <w:rPr>
                <w:sz w:val="15"/>
                <w:szCs w:val="15"/>
              </w:rPr>
              <w:t>10</w:t>
            </w:r>
          </w:p>
        </w:tc>
        <w:tc>
          <w:tcPr>
            <w:tcW w:w="12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550A2A4C" w14:textId="77777777" w:rsidR="00677C22" w:rsidRDefault="004D052E">
            <w:pPr>
              <w:jc w:val="center"/>
            </w:pPr>
            <w:r>
              <w:rPr>
                <w:sz w:val="15"/>
                <w:szCs w:val="15"/>
              </w:rPr>
              <w:t>−15.5</w:t>
            </w:r>
          </w:p>
        </w:tc>
        <w:tc>
          <w:tcPr>
            <w:tcW w:w="12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0205963B" w14:textId="77777777" w:rsidR="00677C22" w:rsidRDefault="004D052E">
            <w:pPr>
              <w:jc w:val="center"/>
            </w:pPr>
            <w:r>
              <w:rPr>
                <w:sz w:val="15"/>
                <w:szCs w:val="15"/>
              </w:rPr>
              <w:t>−364.0</w:t>
            </w:r>
          </w:p>
        </w:tc>
      </w:tr>
      <w:tr w:rsidR="00677C22" w14:paraId="70B7BDBE" w14:textId="77777777">
        <w:tblPrEx>
          <w:tblCellMar>
            <w:top w:w="0" w:type="dxa"/>
            <w:bottom w:w="0" w:type="dxa"/>
          </w:tblCellMar>
        </w:tblPrEx>
        <w:trPr>
          <w:cantSplit/>
          <w:jc w:val="center"/>
        </w:trPr>
        <w:tc>
          <w:tcPr>
            <w:tcW w:w="48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44A843EE" w14:textId="77777777" w:rsidR="00677C22" w:rsidRDefault="004D052E">
            <w:pPr>
              <w:jc w:val="center"/>
            </w:pPr>
            <w:r>
              <w:rPr>
                <w:sz w:val="15"/>
                <w:szCs w:val="15"/>
              </w:rPr>
              <w:t>2</w:t>
            </w:r>
          </w:p>
        </w:tc>
        <w:tc>
          <w:tcPr>
            <w:tcW w:w="12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0642E57E" w14:textId="77777777" w:rsidR="00677C22" w:rsidRDefault="004D052E">
            <w:pPr>
              <w:jc w:val="center"/>
            </w:pPr>
            <w:r>
              <w:rPr>
                <w:sz w:val="15"/>
                <w:szCs w:val="15"/>
              </w:rPr>
              <w:t>−63.7</w:t>
            </w:r>
          </w:p>
        </w:tc>
        <w:tc>
          <w:tcPr>
            <w:tcW w:w="96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4F6AD90E" w14:textId="77777777" w:rsidR="00677C22" w:rsidRDefault="004D052E">
            <w:pPr>
              <w:jc w:val="center"/>
            </w:pPr>
            <w:r>
              <w:rPr>
                <w:sz w:val="15"/>
                <w:szCs w:val="15"/>
              </w:rPr>
              <w:t>48</w:t>
            </w:r>
          </w:p>
        </w:tc>
        <w:tc>
          <w:tcPr>
            <w:tcW w:w="12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5115D676" w14:textId="77777777" w:rsidR="00677C22" w:rsidRDefault="004D052E">
            <w:pPr>
              <w:jc w:val="center"/>
            </w:pPr>
            <w:r>
              <w:rPr>
                <w:sz w:val="15"/>
                <w:szCs w:val="15"/>
              </w:rPr>
              <w:t>−43.0</w:t>
            </w:r>
          </w:p>
        </w:tc>
        <w:tc>
          <w:tcPr>
            <w:tcW w:w="12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4DD147AE" w14:textId="77777777" w:rsidR="00677C22" w:rsidRDefault="004D052E">
            <w:pPr>
              <w:jc w:val="center"/>
            </w:pPr>
            <w:r>
              <w:rPr>
                <w:sz w:val="15"/>
                <w:szCs w:val="15"/>
              </w:rPr>
              <w:t>−50.9</w:t>
            </w:r>
          </w:p>
        </w:tc>
      </w:tr>
      <w:tr w:rsidR="00677C22" w14:paraId="057A4BFF" w14:textId="77777777">
        <w:tblPrEx>
          <w:tblCellMar>
            <w:top w:w="0" w:type="dxa"/>
            <w:bottom w:w="0" w:type="dxa"/>
          </w:tblCellMar>
        </w:tblPrEx>
        <w:trPr>
          <w:cantSplit/>
          <w:jc w:val="center"/>
        </w:trPr>
        <w:tc>
          <w:tcPr>
            <w:tcW w:w="48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53F71291" w14:textId="77777777" w:rsidR="00677C22" w:rsidRDefault="004D052E">
            <w:pPr>
              <w:jc w:val="center"/>
            </w:pPr>
            <w:r>
              <w:rPr>
                <w:sz w:val="15"/>
                <w:szCs w:val="15"/>
              </w:rPr>
              <w:t>3</w:t>
            </w:r>
          </w:p>
        </w:tc>
        <w:tc>
          <w:tcPr>
            <w:tcW w:w="12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489017EC" w14:textId="77777777" w:rsidR="00677C22" w:rsidRDefault="004D052E">
            <w:pPr>
              <w:jc w:val="center"/>
            </w:pPr>
            <w:r>
              <w:rPr>
                <w:sz w:val="15"/>
                <w:szCs w:val="15"/>
              </w:rPr>
              <w:t>+31.4</w:t>
            </w:r>
          </w:p>
        </w:tc>
        <w:tc>
          <w:tcPr>
            <w:tcW w:w="96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5AF28B01" w14:textId="77777777" w:rsidR="00677C22" w:rsidRDefault="004D052E">
            <w:pPr>
              <w:jc w:val="center"/>
            </w:pPr>
            <w:r>
              <w:rPr>
                <w:sz w:val="15"/>
                <w:szCs w:val="15"/>
              </w:rPr>
              <w:t>45</w:t>
            </w:r>
          </w:p>
        </w:tc>
        <w:tc>
          <w:tcPr>
            <w:tcW w:w="12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25CB9023" w14:textId="77777777" w:rsidR="00677C22" w:rsidRDefault="004D052E">
            <w:pPr>
              <w:jc w:val="center"/>
            </w:pPr>
            <w:r>
              <w:rPr>
                <w:sz w:val="15"/>
                <w:szCs w:val="15"/>
              </w:rPr>
              <w:t>+241.0</w:t>
            </w:r>
          </w:p>
        </w:tc>
        <w:tc>
          <w:tcPr>
            <w:tcW w:w="12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0D656257" w14:textId="77777777" w:rsidR="00677C22" w:rsidRDefault="004D052E">
            <w:pPr>
              <w:jc w:val="center"/>
            </w:pPr>
            <w:r>
              <w:rPr>
                <w:sz w:val="15"/>
                <w:szCs w:val="15"/>
              </w:rPr>
              <w:t>−40.5</w:t>
            </w:r>
          </w:p>
        </w:tc>
      </w:tr>
      <w:tr w:rsidR="00677C22" w14:paraId="6D70826F" w14:textId="77777777">
        <w:tblPrEx>
          <w:tblCellMar>
            <w:top w:w="0" w:type="dxa"/>
            <w:bottom w:w="0" w:type="dxa"/>
          </w:tblCellMar>
        </w:tblPrEx>
        <w:trPr>
          <w:cantSplit/>
          <w:jc w:val="center"/>
        </w:trPr>
        <w:tc>
          <w:tcPr>
            <w:tcW w:w="48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3FC22571" w14:textId="77777777" w:rsidR="00677C22" w:rsidRDefault="004D052E">
            <w:pPr>
              <w:jc w:val="center"/>
            </w:pPr>
            <w:r>
              <w:rPr>
                <w:sz w:val="15"/>
                <w:szCs w:val="15"/>
              </w:rPr>
              <w:t>4</w:t>
            </w:r>
          </w:p>
        </w:tc>
        <w:tc>
          <w:tcPr>
            <w:tcW w:w="12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1623358C" w14:textId="77777777" w:rsidR="00677C22" w:rsidRDefault="004D052E">
            <w:pPr>
              <w:jc w:val="center"/>
            </w:pPr>
            <w:r>
              <w:rPr>
                <w:sz w:val="15"/>
                <w:szCs w:val="15"/>
              </w:rPr>
              <w:t>−393.2</w:t>
            </w:r>
          </w:p>
        </w:tc>
        <w:tc>
          <w:tcPr>
            <w:tcW w:w="96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5FC9F900" w14:textId="77777777" w:rsidR="00677C22" w:rsidRDefault="004D052E">
            <w:pPr>
              <w:jc w:val="center"/>
            </w:pPr>
            <w:r>
              <w:rPr>
                <w:sz w:val="15"/>
                <w:szCs w:val="15"/>
              </w:rPr>
              <w:t>6</w:t>
            </w:r>
          </w:p>
        </w:tc>
        <w:tc>
          <w:tcPr>
            <w:tcW w:w="12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6262573B" w14:textId="77777777" w:rsidR="00677C22" w:rsidRDefault="004D052E">
            <w:pPr>
              <w:jc w:val="center"/>
            </w:pPr>
            <w:r>
              <w:rPr>
                <w:sz w:val="15"/>
                <w:szCs w:val="15"/>
              </w:rPr>
              <w:t>+44.7</w:t>
            </w:r>
          </w:p>
        </w:tc>
        <w:tc>
          <w:tcPr>
            <w:tcW w:w="12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71B9514A" w14:textId="77777777" w:rsidR="00677C22" w:rsidRDefault="004D052E">
            <w:pPr>
              <w:jc w:val="center"/>
            </w:pPr>
            <w:r>
              <w:rPr>
                <w:sz w:val="15"/>
                <w:szCs w:val="15"/>
              </w:rPr>
              <w:t>−406.5</w:t>
            </w:r>
          </w:p>
        </w:tc>
      </w:tr>
      <w:tr w:rsidR="00677C22" w14:paraId="29D14525" w14:textId="77777777">
        <w:tblPrEx>
          <w:tblCellMar>
            <w:top w:w="0" w:type="dxa"/>
            <w:bottom w:w="0" w:type="dxa"/>
          </w:tblCellMar>
        </w:tblPrEx>
        <w:trPr>
          <w:cantSplit/>
          <w:jc w:val="center"/>
        </w:trPr>
        <w:tc>
          <w:tcPr>
            <w:tcW w:w="48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1048D496" w14:textId="77777777" w:rsidR="00677C22" w:rsidRDefault="004D052E">
            <w:pPr>
              <w:jc w:val="center"/>
            </w:pPr>
            <w:r>
              <w:rPr>
                <w:sz w:val="15"/>
                <w:szCs w:val="15"/>
              </w:rPr>
              <w:t>5</w:t>
            </w:r>
          </w:p>
        </w:tc>
        <w:tc>
          <w:tcPr>
            <w:tcW w:w="12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5510467F" w14:textId="77777777" w:rsidR="00677C22" w:rsidRDefault="004D052E">
            <w:pPr>
              <w:jc w:val="center"/>
            </w:pPr>
            <w:r>
              <w:rPr>
                <w:sz w:val="15"/>
                <w:szCs w:val="15"/>
              </w:rPr>
              <w:t>−627.6</w:t>
            </w:r>
          </w:p>
        </w:tc>
        <w:tc>
          <w:tcPr>
            <w:tcW w:w="96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6C6D6554" w14:textId="77777777" w:rsidR="00677C22" w:rsidRDefault="004D052E">
            <w:pPr>
              <w:jc w:val="center"/>
            </w:pPr>
            <w:r>
              <w:rPr>
                <w:sz w:val="15"/>
                <w:szCs w:val="15"/>
              </w:rPr>
              <w:t>85</w:t>
            </w:r>
          </w:p>
        </w:tc>
        <w:tc>
          <w:tcPr>
            <w:tcW w:w="12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3BD536A3" w14:textId="77777777" w:rsidR="00677C22" w:rsidRDefault="004D052E">
            <w:pPr>
              <w:jc w:val="center"/>
            </w:pPr>
            <w:r>
              <w:rPr>
                <w:sz w:val="15"/>
                <w:szCs w:val="15"/>
              </w:rPr>
              <w:t>−86.9</w:t>
            </w:r>
          </w:p>
        </w:tc>
        <w:tc>
          <w:tcPr>
            <w:tcW w:w="12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7D9DCD13" w14:textId="77777777" w:rsidR="00677C22" w:rsidRDefault="004D052E">
            <w:pPr>
              <w:jc w:val="center"/>
            </w:pPr>
            <w:r>
              <w:rPr>
                <w:sz w:val="15"/>
                <w:szCs w:val="15"/>
              </w:rPr>
              <w:t>−601.7</w:t>
            </w:r>
          </w:p>
        </w:tc>
      </w:tr>
      <w:tr w:rsidR="00677C22" w14:paraId="520E11DD" w14:textId="77777777">
        <w:tblPrEx>
          <w:tblCellMar>
            <w:top w:w="0" w:type="dxa"/>
            <w:bottom w:w="0" w:type="dxa"/>
          </w:tblCellMar>
        </w:tblPrEx>
        <w:trPr>
          <w:cantSplit/>
          <w:jc w:val="center"/>
        </w:trPr>
        <w:tc>
          <w:tcPr>
            <w:tcW w:w="48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5C565E01" w14:textId="77777777" w:rsidR="00677C22" w:rsidRDefault="004D052E">
            <w:pPr>
              <w:jc w:val="center"/>
            </w:pPr>
            <w:r>
              <w:rPr>
                <w:sz w:val="15"/>
                <w:szCs w:val="15"/>
              </w:rPr>
              <w:t>6</w:t>
            </w:r>
          </w:p>
        </w:tc>
        <w:tc>
          <w:tcPr>
            <w:tcW w:w="12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786123BA" w14:textId="77777777" w:rsidR="00677C22" w:rsidRDefault="004D052E">
            <w:pPr>
              <w:jc w:val="center"/>
            </w:pPr>
            <w:r>
              <w:rPr>
                <w:sz w:val="15"/>
                <w:szCs w:val="15"/>
              </w:rPr>
              <w:t>−65.2</w:t>
            </w:r>
          </w:p>
        </w:tc>
        <w:tc>
          <w:tcPr>
            <w:tcW w:w="96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41A48ED5" w14:textId="77777777" w:rsidR="00677C22" w:rsidRDefault="004D052E">
            <w:pPr>
              <w:jc w:val="center"/>
            </w:pPr>
            <w:r>
              <w:rPr>
                <w:sz w:val="15"/>
                <w:szCs w:val="15"/>
              </w:rPr>
              <w:t>46</w:t>
            </w:r>
          </w:p>
        </w:tc>
        <w:tc>
          <w:tcPr>
            <w:tcW w:w="12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61084962" w14:textId="77777777" w:rsidR="00677C22" w:rsidRDefault="004D052E">
            <w:pPr>
              <w:jc w:val="center"/>
            </w:pPr>
            <w:r>
              <w:rPr>
                <w:sz w:val="15"/>
                <w:szCs w:val="15"/>
              </w:rPr>
              <w:t>−26.3</w:t>
            </w:r>
          </w:p>
        </w:tc>
        <w:tc>
          <w:tcPr>
            <w:tcW w:w="12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15F423CC" w14:textId="77777777" w:rsidR="00677C22" w:rsidRDefault="004D052E">
            <w:pPr>
              <w:jc w:val="center"/>
            </w:pPr>
            <w:r>
              <w:rPr>
                <w:sz w:val="15"/>
                <w:szCs w:val="15"/>
              </w:rPr>
              <w:t>−57.4</w:t>
            </w:r>
          </w:p>
        </w:tc>
      </w:tr>
      <w:tr w:rsidR="00677C22" w14:paraId="41730808" w14:textId="77777777">
        <w:tblPrEx>
          <w:tblCellMar>
            <w:top w:w="0" w:type="dxa"/>
            <w:bottom w:w="0" w:type="dxa"/>
          </w:tblCellMar>
        </w:tblPrEx>
        <w:trPr>
          <w:cantSplit/>
          <w:jc w:val="center"/>
        </w:trPr>
        <w:tc>
          <w:tcPr>
            <w:tcW w:w="48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00D03371" w14:textId="77777777" w:rsidR="00677C22" w:rsidRDefault="004D052E">
            <w:pPr>
              <w:jc w:val="center"/>
            </w:pPr>
            <w:r>
              <w:rPr>
                <w:sz w:val="15"/>
                <w:szCs w:val="15"/>
              </w:rPr>
              <w:t>7</w:t>
            </w:r>
          </w:p>
        </w:tc>
        <w:tc>
          <w:tcPr>
            <w:tcW w:w="12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4E521598" w14:textId="77777777" w:rsidR="00677C22" w:rsidRDefault="004D052E">
            <w:pPr>
              <w:jc w:val="center"/>
            </w:pPr>
            <w:r>
              <w:rPr>
                <w:sz w:val="15"/>
                <w:szCs w:val="15"/>
              </w:rPr>
              <w:t>+178.3</w:t>
            </w:r>
          </w:p>
        </w:tc>
        <w:tc>
          <w:tcPr>
            <w:tcW w:w="96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3E13541E" w14:textId="77777777" w:rsidR="00677C22" w:rsidRDefault="004D052E">
            <w:pPr>
              <w:jc w:val="center"/>
            </w:pPr>
            <w:r>
              <w:rPr>
                <w:sz w:val="15"/>
                <w:szCs w:val="15"/>
              </w:rPr>
              <w:t>185</w:t>
            </w:r>
          </w:p>
        </w:tc>
        <w:tc>
          <w:tcPr>
            <w:tcW w:w="12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068ED76C" w14:textId="77777777" w:rsidR="00677C22" w:rsidRDefault="004D052E">
            <w:pPr>
              <w:jc w:val="center"/>
            </w:pPr>
            <w:r>
              <w:rPr>
                <w:sz w:val="15"/>
                <w:szCs w:val="15"/>
              </w:rPr>
              <w:t>+160.7</w:t>
            </w:r>
          </w:p>
        </w:tc>
        <w:tc>
          <w:tcPr>
            <w:tcW w:w="12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30EAF984" w14:textId="77777777" w:rsidR="00677C22" w:rsidRDefault="004D052E">
            <w:pPr>
              <w:jc w:val="center"/>
            </w:pPr>
            <w:r>
              <w:rPr>
                <w:sz w:val="15"/>
                <w:szCs w:val="15"/>
              </w:rPr>
              <w:t>+130.4</w:t>
            </w:r>
          </w:p>
        </w:tc>
      </w:tr>
      <w:tr w:rsidR="00677C22" w14:paraId="771453A4" w14:textId="77777777">
        <w:tblPrEx>
          <w:tblCellMar>
            <w:top w:w="0" w:type="dxa"/>
            <w:bottom w:w="0" w:type="dxa"/>
          </w:tblCellMar>
        </w:tblPrEx>
        <w:trPr>
          <w:cantSplit/>
          <w:jc w:val="center"/>
        </w:trPr>
        <w:tc>
          <w:tcPr>
            <w:tcW w:w="48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7507F4E4" w14:textId="77777777" w:rsidR="00677C22" w:rsidRDefault="004D052E">
            <w:pPr>
              <w:jc w:val="center"/>
            </w:pPr>
            <w:r>
              <w:rPr>
                <w:sz w:val="15"/>
                <w:szCs w:val="15"/>
              </w:rPr>
              <w:t>8</w:t>
            </w:r>
          </w:p>
        </w:tc>
        <w:tc>
          <w:tcPr>
            <w:tcW w:w="12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4D4AD4CD" w14:textId="77777777" w:rsidR="00677C22" w:rsidRDefault="004D052E">
            <w:pPr>
              <w:jc w:val="center"/>
            </w:pPr>
            <w:r>
              <w:rPr>
                <w:sz w:val="15"/>
                <w:szCs w:val="15"/>
              </w:rPr>
              <w:t>+340.1</w:t>
            </w:r>
          </w:p>
        </w:tc>
        <w:tc>
          <w:tcPr>
            <w:tcW w:w="96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4AD28D9F" w14:textId="77777777" w:rsidR="00677C22" w:rsidRDefault="004D052E">
            <w:pPr>
              <w:jc w:val="center"/>
            </w:pPr>
            <w:r>
              <w:rPr>
                <w:sz w:val="15"/>
                <w:szCs w:val="15"/>
              </w:rPr>
              <w:t>365</w:t>
            </w:r>
          </w:p>
        </w:tc>
        <w:tc>
          <w:tcPr>
            <w:tcW w:w="12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0A8FDBBD" w14:textId="77777777" w:rsidR="00677C22" w:rsidRDefault="004D052E">
            <w:pPr>
              <w:jc w:val="center"/>
            </w:pPr>
            <w:r>
              <w:rPr>
                <w:sz w:val="15"/>
                <w:szCs w:val="15"/>
              </w:rPr>
              <w:t>+377.4</w:t>
            </w:r>
          </w:p>
        </w:tc>
        <w:tc>
          <w:tcPr>
            <w:tcW w:w="120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4BEDA65E" w14:textId="77777777" w:rsidR="00677C22" w:rsidRDefault="004D052E">
            <w:pPr>
              <w:jc w:val="center"/>
            </w:pPr>
            <w:r>
              <w:rPr>
                <w:sz w:val="15"/>
                <w:szCs w:val="15"/>
              </w:rPr>
              <w:t>+227.6</w:t>
            </w:r>
          </w:p>
        </w:tc>
      </w:tr>
    </w:tbl>
    <w:p w14:paraId="61D99F35" w14:textId="77777777" w:rsidR="00677C22" w:rsidRDefault="00677C22">
      <w:pPr>
        <w:spacing w:after="80"/>
      </w:pPr>
    </w:p>
    <w:p w14:paraId="74BD8BFE" w14:textId="77777777" w:rsidR="00677C22" w:rsidRDefault="004D052E">
      <w:pPr>
        <w:spacing w:after="80"/>
        <w:jc w:val="center"/>
      </w:pPr>
      <w:r>
        <w:rPr>
          <w:i/>
          <w:iCs/>
          <w:sz w:val="15"/>
          <w:szCs w:val="15"/>
        </w:rPr>
        <w:t>ΔH, E</w:t>
      </w:r>
      <w:r>
        <w:rPr>
          <w:i/>
          <w:iCs/>
          <w:sz w:val="15"/>
          <w:szCs w:val="15"/>
          <w:vertAlign w:val="subscript"/>
        </w:rPr>
        <w:t>a</w:t>
      </w:r>
      <w:r>
        <w:rPr>
          <w:i/>
          <w:iCs/>
          <w:sz w:val="15"/>
          <w:szCs w:val="15"/>
        </w:rPr>
        <w:t>, ΔG in kJ/mol; ΔS in J/mol·K.</w:t>
      </w:r>
    </w:p>
    <w:p w14:paraId="26B08403" w14:textId="77777777" w:rsidR="00677C22" w:rsidRDefault="004D052E">
      <w:pPr>
        <w:keepNext/>
        <w:spacing w:before="80" w:after="40"/>
        <w:jc w:val="center"/>
      </w:pPr>
      <w:r>
        <w:rPr>
          <w:noProof/>
        </w:rPr>
        <w:drawing>
          <wp:inline distT="0" distB="0" distL="0" distR="0" wp14:anchorId="5C59B82D" wp14:editId="78FB6ADD">
            <wp:extent cx="3057525" cy="1619250"/>
            <wp:effectExtent l="0" t="0" r="0" b="0"/>
            <wp:docPr id="12" name="fig7_2_dh_ea.png" descr="Fig. 12. Enthalpy change and activation energy of the eight reactions." title="fig7_2_dh_e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057525" cy="1619250"/>
                    </a:xfrm>
                    <a:prstGeom prst="rect">
                      <a:avLst/>
                    </a:prstGeom>
                  </pic:spPr>
                </pic:pic>
              </a:graphicData>
            </a:graphic>
          </wp:inline>
        </w:drawing>
      </w:r>
    </w:p>
    <w:p w14:paraId="5CC540ED" w14:textId="77777777" w:rsidR="00677C22" w:rsidRDefault="004D052E">
      <w:pPr>
        <w:spacing w:after="100"/>
        <w:jc w:val="both"/>
      </w:pPr>
      <w:r>
        <w:rPr>
          <w:sz w:val="16"/>
          <w:szCs w:val="16"/>
        </w:rPr>
        <w:t>Fig. 12. Enthalpy change and activation energy of the eight reactions.</w:t>
      </w:r>
    </w:p>
    <w:p w14:paraId="1658BC23" w14:textId="77777777" w:rsidR="00677C22" w:rsidRDefault="004D052E">
      <w:pPr>
        <w:keepNext/>
        <w:spacing w:before="80" w:after="40"/>
        <w:jc w:val="center"/>
      </w:pPr>
      <w:r>
        <w:rPr>
          <w:noProof/>
        </w:rPr>
        <w:drawing>
          <wp:inline distT="0" distB="0" distL="0" distR="0" wp14:anchorId="603F9C4A" wp14:editId="035BB467">
            <wp:extent cx="2990850" cy="1619250"/>
            <wp:effectExtent l="0" t="0" r="0" b="0"/>
            <wp:docPr id="13" name="fig7_3_ds_dg.png" descr="Fig. 13. Entropy change and Gibbs free energy at 298 K for the eight reactions." title="fig7_3_ds_d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990850" cy="1619250"/>
                    </a:xfrm>
                    <a:prstGeom prst="rect">
                      <a:avLst/>
                    </a:prstGeom>
                  </pic:spPr>
                </pic:pic>
              </a:graphicData>
            </a:graphic>
          </wp:inline>
        </w:drawing>
      </w:r>
    </w:p>
    <w:p w14:paraId="65363DBD" w14:textId="77777777" w:rsidR="00677C22" w:rsidRDefault="004D052E">
      <w:pPr>
        <w:spacing w:after="100"/>
        <w:jc w:val="both"/>
      </w:pPr>
      <w:r>
        <w:rPr>
          <w:sz w:val="16"/>
          <w:szCs w:val="16"/>
        </w:rPr>
        <w:t>Fig. 13. Entropy change and Gibbs free energy at 298 K for the eight reactions.</w:t>
      </w:r>
    </w:p>
    <w:p w14:paraId="6CEB703F" w14:textId="77777777" w:rsidR="00677C22" w:rsidRDefault="004D052E">
      <w:pPr>
        <w:keepNext/>
        <w:spacing w:before="80" w:after="40"/>
      </w:pPr>
      <w:r>
        <w:rPr>
          <w:i/>
          <w:iCs/>
        </w:rPr>
        <w:t>D. Comparison with Existing Systems</w:t>
      </w:r>
    </w:p>
    <w:p w14:paraId="1F3E1301" w14:textId="77777777" w:rsidR="00677C22" w:rsidRDefault="004D052E">
      <w:pPr>
        <w:ind w:firstLine="288"/>
        <w:jc w:val="both"/>
      </w:pPr>
      <w:r>
        <w:t>Table VI compares Atomix functionally with representative systems from Section II; numerical learning results of those studies are not directly comparable because they used different populations and measures.</w:t>
      </w:r>
    </w:p>
    <w:p w14:paraId="2B6BD96B" w14:textId="77777777" w:rsidR="00677C22" w:rsidRDefault="004D052E">
      <w:pPr>
        <w:keepNext/>
        <w:spacing w:before="100"/>
        <w:jc w:val="center"/>
      </w:pPr>
      <w:r>
        <w:rPr>
          <w:smallCaps/>
          <w:sz w:val="16"/>
          <w:szCs w:val="16"/>
        </w:rPr>
        <w:t>TABLE VI</w:t>
      </w:r>
    </w:p>
    <w:p w14:paraId="63809F5B" w14:textId="77777777" w:rsidR="00677C22" w:rsidRDefault="004D052E">
      <w:pPr>
        <w:keepNext/>
        <w:spacing w:after="60"/>
        <w:jc w:val="center"/>
      </w:pPr>
      <w:r>
        <w:rPr>
          <w:smallCaps/>
          <w:sz w:val="16"/>
          <w:szCs w:val="16"/>
        </w:rPr>
        <w:t>Functional Comparison</w:t>
      </w:r>
    </w:p>
    <w:tbl>
      <w:tblPr>
        <w:tblW w:w="50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3"/>
        <w:gridCol w:w="763"/>
        <w:gridCol w:w="763"/>
        <w:gridCol w:w="560"/>
        <w:gridCol w:w="763"/>
        <w:gridCol w:w="865"/>
      </w:tblGrid>
      <w:tr w:rsidR="00677C22" w14:paraId="7249E153" w14:textId="77777777">
        <w:tblPrEx>
          <w:tblCellMar>
            <w:top w:w="0" w:type="dxa"/>
            <w:bottom w:w="0" w:type="dxa"/>
          </w:tblCellMar>
        </w:tblPrEx>
        <w:trPr>
          <w:tblHeader/>
          <w:jc w:val="center"/>
        </w:trPr>
        <w:tc>
          <w:tcPr>
            <w:tcW w:w="1323" w:type="dxa"/>
            <w:tcBorders>
              <w:top w:val="single" w:sz="4" w:space="0" w:color="000000"/>
              <w:left w:val="single" w:sz="4" w:space="0" w:color="000000"/>
              <w:bottom w:val="single" w:sz="4" w:space="0" w:color="000000"/>
              <w:right w:val="single" w:sz="4" w:space="0" w:color="000000"/>
            </w:tcBorders>
            <w:shd w:val="clear" w:color="auto" w:fill="E7E6E6"/>
            <w:tcMar>
              <w:top w:w="20" w:type="dxa"/>
              <w:left w:w="50" w:type="dxa"/>
              <w:bottom w:w="20" w:type="dxa"/>
              <w:right w:w="50" w:type="dxa"/>
            </w:tcMar>
            <w:vAlign w:val="center"/>
          </w:tcPr>
          <w:p w14:paraId="586E5CD2" w14:textId="77777777" w:rsidR="00677C22" w:rsidRDefault="004D052E">
            <w:pPr>
              <w:jc w:val="center"/>
            </w:pPr>
            <w:r>
              <w:rPr>
                <w:b/>
                <w:bCs/>
                <w:sz w:val="15"/>
                <w:szCs w:val="15"/>
              </w:rPr>
              <w:t>Feature</w:t>
            </w:r>
          </w:p>
        </w:tc>
        <w:tc>
          <w:tcPr>
            <w:tcW w:w="763" w:type="dxa"/>
            <w:tcBorders>
              <w:top w:val="single" w:sz="4" w:space="0" w:color="000000"/>
              <w:left w:val="single" w:sz="4" w:space="0" w:color="000000"/>
              <w:bottom w:val="single" w:sz="4" w:space="0" w:color="000000"/>
              <w:right w:val="single" w:sz="4" w:space="0" w:color="000000"/>
            </w:tcBorders>
            <w:shd w:val="clear" w:color="auto" w:fill="E7E6E6"/>
            <w:tcMar>
              <w:top w:w="20" w:type="dxa"/>
              <w:left w:w="50" w:type="dxa"/>
              <w:bottom w:w="20" w:type="dxa"/>
              <w:right w:w="50" w:type="dxa"/>
            </w:tcMar>
            <w:vAlign w:val="center"/>
          </w:tcPr>
          <w:p w14:paraId="1CEBBA4F" w14:textId="77777777" w:rsidR="00677C22" w:rsidRDefault="004D052E">
            <w:pPr>
              <w:jc w:val="center"/>
            </w:pPr>
            <w:r>
              <w:rPr>
                <w:b/>
                <w:bCs/>
                <w:sz w:val="15"/>
                <w:szCs w:val="15"/>
              </w:rPr>
              <w:t>[1],[12]</w:t>
            </w:r>
          </w:p>
        </w:tc>
        <w:tc>
          <w:tcPr>
            <w:tcW w:w="763" w:type="dxa"/>
            <w:tcBorders>
              <w:top w:val="single" w:sz="4" w:space="0" w:color="000000"/>
              <w:left w:val="single" w:sz="4" w:space="0" w:color="000000"/>
              <w:bottom w:val="single" w:sz="4" w:space="0" w:color="000000"/>
              <w:right w:val="single" w:sz="4" w:space="0" w:color="000000"/>
            </w:tcBorders>
            <w:shd w:val="clear" w:color="auto" w:fill="E7E6E6"/>
            <w:tcMar>
              <w:top w:w="20" w:type="dxa"/>
              <w:left w:w="50" w:type="dxa"/>
              <w:bottom w:w="20" w:type="dxa"/>
              <w:right w:w="50" w:type="dxa"/>
            </w:tcMar>
            <w:vAlign w:val="center"/>
          </w:tcPr>
          <w:p w14:paraId="1A573042" w14:textId="77777777" w:rsidR="00677C22" w:rsidRDefault="004D052E">
            <w:pPr>
              <w:jc w:val="center"/>
            </w:pPr>
            <w:r>
              <w:rPr>
                <w:b/>
                <w:bCs/>
                <w:sz w:val="15"/>
                <w:szCs w:val="15"/>
              </w:rPr>
              <w:t>[4],[13]</w:t>
            </w:r>
          </w:p>
        </w:tc>
        <w:tc>
          <w:tcPr>
            <w:tcW w:w="560" w:type="dxa"/>
            <w:tcBorders>
              <w:top w:val="single" w:sz="4" w:space="0" w:color="000000"/>
              <w:left w:val="single" w:sz="4" w:space="0" w:color="000000"/>
              <w:bottom w:val="single" w:sz="4" w:space="0" w:color="000000"/>
              <w:right w:val="single" w:sz="4" w:space="0" w:color="000000"/>
            </w:tcBorders>
            <w:shd w:val="clear" w:color="auto" w:fill="E7E6E6"/>
            <w:tcMar>
              <w:top w:w="20" w:type="dxa"/>
              <w:left w:w="50" w:type="dxa"/>
              <w:bottom w:w="20" w:type="dxa"/>
              <w:right w:w="50" w:type="dxa"/>
            </w:tcMar>
            <w:vAlign w:val="center"/>
          </w:tcPr>
          <w:p w14:paraId="1DE3195D" w14:textId="77777777" w:rsidR="00677C22" w:rsidRDefault="004D052E">
            <w:pPr>
              <w:jc w:val="center"/>
            </w:pPr>
            <w:r>
              <w:rPr>
                <w:b/>
                <w:bCs/>
                <w:sz w:val="15"/>
                <w:szCs w:val="15"/>
              </w:rPr>
              <w:t>[5]</w:t>
            </w:r>
          </w:p>
        </w:tc>
        <w:tc>
          <w:tcPr>
            <w:tcW w:w="763" w:type="dxa"/>
            <w:tcBorders>
              <w:top w:val="single" w:sz="4" w:space="0" w:color="000000"/>
              <w:left w:val="single" w:sz="4" w:space="0" w:color="000000"/>
              <w:bottom w:val="single" w:sz="4" w:space="0" w:color="000000"/>
              <w:right w:val="single" w:sz="4" w:space="0" w:color="000000"/>
            </w:tcBorders>
            <w:shd w:val="clear" w:color="auto" w:fill="E7E6E6"/>
            <w:tcMar>
              <w:top w:w="20" w:type="dxa"/>
              <w:left w:w="50" w:type="dxa"/>
              <w:bottom w:w="20" w:type="dxa"/>
              <w:right w:w="50" w:type="dxa"/>
            </w:tcMar>
            <w:vAlign w:val="center"/>
          </w:tcPr>
          <w:p w14:paraId="2C50BFE8" w14:textId="77777777" w:rsidR="00677C22" w:rsidRDefault="004D052E">
            <w:pPr>
              <w:jc w:val="center"/>
            </w:pPr>
            <w:r>
              <w:rPr>
                <w:b/>
                <w:bCs/>
                <w:sz w:val="15"/>
                <w:szCs w:val="15"/>
              </w:rPr>
              <w:t>[7],[14]</w:t>
            </w:r>
          </w:p>
        </w:tc>
        <w:tc>
          <w:tcPr>
            <w:tcW w:w="865" w:type="dxa"/>
            <w:tcBorders>
              <w:top w:val="single" w:sz="4" w:space="0" w:color="000000"/>
              <w:left w:val="single" w:sz="4" w:space="0" w:color="000000"/>
              <w:bottom w:val="single" w:sz="4" w:space="0" w:color="000000"/>
              <w:right w:val="single" w:sz="4" w:space="0" w:color="000000"/>
            </w:tcBorders>
            <w:shd w:val="clear" w:color="auto" w:fill="E7E6E6"/>
            <w:tcMar>
              <w:top w:w="20" w:type="dxa"/>
              <w:left w:w="50" w:type="dxa"/>
              <w:bottom w:w="20" w:type="dxa"/>
              <w:right w:w="50" w:type="dxa"/>
            </w:tcMar>
            <w:vAlign w:val="center"/>
          </w:tcPr>
          <w:p w14:paraId="30DEE6D2" w14:textId="77777777" w:rsidR="00677C22" w:rsidRDefault="004D052E">
            <w:pPr>
              <w:jc w:val="center"/>
            </w:pPr>
            <w:r>
              <w:rPr>
                <w:b/>
                <w:bCs/>
                <w:sz w:val="15"/>
                <w:szCs w:val="15"/>
              </w:rPr>
              <w:t>Atomix</w:t>
            </w:r>
          </w:p>
        </w:tc>
      </w:tr>
      <w:tr w:rsidR="00677C22" w14:paraId="217113B3" w14:textId="77777777">
        <w:tblPrEx>
          <w:tblCellMar>
            <w:top w:w="0" w:type="dxa"/>
            <w:bottom w:w="0" w:type="dxa"/>
          </w:tblCellMar>
        </w:tblPrEx>
        <w:trPr>
          <w:cantSplit/>
          <w:jc w:val="center"/>
        </w:trPr>
        <w:tc>
          <w:tcPr>
            <w:tcW w:w="1323"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17562198" w14:textId="77777777" w:rsidR="00677C22" w:rsidRDefault="004D052E">
            <w:pPr>
              <w:jc w:val="center"/>
            </w:pPr>
            <w:r>
              <w:rPr>
                <w:sz w:val="15"/>
                <w:szCs w:val="15"/>
              </w:rPr>
              <w:t>VR + desktop</w:t>
            </w:r>
          </w:p>
        </w:tc>
        <w:tc>
          <w:tcPr>
            <w:tcW w:w="763"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5E53822F" w14:textId="77777777" w:rsidR="00677C22" w:rsidRDefault="004D052E">
            <w:pPr>
              <w:jc w:val="center"/>
            </w:pPr>
            <w:r>
              <w:rPr>
                <w:sz w:val="15"/>
                <w:szCs w:val="15"/>
              </w:rPr>
              <w:t>Desktop</w:t>
            </w:r>
          </w:p>
        </w:tc>
        <w:tc>
          <w:tcPr>
            <w:tcW w:w="763"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44B6273B" w14:textId="77777777" w:rsidR="00677C22" w:rsidRDefault="004D052E">
            <w:pPr>
              <w:jc w:val="center"/>
            </w:pPr>
            <w:r>
              <w:rPr>
                <w:sz w:val="15"/>
                <w:szCs w:val="15"/>
              </w:rPr>
              <w:t>VR</w:t>
            </w:r>
          </w:p>
        </w:tc>
        <w:tc>
          <w:tcPr>
            <w:tcW w:w="56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1B0BDA54" w14:textId="77777777" w:rsidR="00677C22" w:rsidRDefault="004D052E">
            <w:pPr>
              <w:jc w:val="center"/>
            </w:pPr>
            <w:r>
              <w:rPr>
                <w:sz w:val="15"/>
                <w:szCs w:val="15"/>
              </w:rPr>
              <w:t>CAVE</w:t>
            </w:r>
          </w:p>
        </w:tc>
        <w:tc>
          <w:tcPr>
            <w:tcW w:w="763"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30C37E77" w14:textId="77777777" w:rsidR="00677C22" w:rsidRDefault="004D052E">
            <w:pPr>
              <w:jc w:val="center"/>
            </w:pPr>
            <w:r>
              <w:rPr>
                <w:sz w:val="15"/>
                <w:szCs w:val="15"/>
              </w:rPr>
              <w:t>Web</w:t>
            </w:r>
          </w:p>
        </w:tc>
        <w:tc>
          <w:tcPr>
            <w:tcW w:w="865"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56D76CAD" w14:textId="77777777" w:rsidR="00677C22" w:rsidRDefault="004D052E">
            <w:pPr>
              <w:jc w:val="center"/>
            </w:pPr>
            <w:r>
              <w:rPr>
                <w:sz w:val="15"/>
                <w:szCs w:val="15"/>
              </w:rPr>
              <w:t>Both</w:t>
            </w:r>
          </w:p>
        </w:tc>
      </w:tr>
      <w:tr w:rsidR="00677C22" w14:paraId="0EF2EB43" w14:textId="77777777">
        <w:tblPrEx>
          <w:tblCellMar>
            <w:top w:w="0" w:type="dxa"/>
            <w:bottom w:w="0" w:type="dxa"/>
          </w:tblCellMar>
        </w:tblPrEx>
        <w:trPr>
          <w:cantSplit/>
          <w:jc w:val="center"/>
        </w:trPr>
        <w:tc>
          <w:tcPr>
            <w:tcW w:w="1323"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0A0D6E42" w14:textId="77777777" w:rsidR="00677C22" w:rsidRDefault="004D052E">
            <w:pPr>
              <w:jc w:val="center"/>
            </w:pPr>
            <w:r>
              <w:rPr>
                <w:sz w:val="15"/>
                <w:szCs w:val="15"/>
              </w:rPr>
              <w:t>Quantity judging</w:t>
            </w:r>
          </w:p>
        </w:tc>
        <w:tc>
          <w:tcPr>
            <w:tcW w:w="763"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404B7E3E" w14:textId="77777777" w:rsidR="00677C22" w:rsidRDefault="004D052E">
            <w:pPr>
              <w:jc w:val="center"/>
            </w:pPr>
            <w:r>
              <w:rPr>
                <w:sz w:val="15"/>
                <w:szCs w:val="15"/>
              </w:rPr>
              <w:t>No</w:t>
            </w:r>
          </w:p>
        </w:tc>
        <w:tc>
          <w:tcPr>
            <w:tcW w:w="763"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2B36E711" w14:textId="77777777" w:rsidR="00677C22" w:rsidRDefault="004D052E">
            <w:pPr>
              <w:jc w:val="center"/>
            </w:pPr>
            <w:r>
              <w:rPr>
                <w:sz w:val="15"/>
                <w:szCs w:val="15"/>
              </w:rPr>
              <w:t>No</w:t>
            </w:r>
          </w:p>
        </w:tc>
        <w:tc>
          <w:tcPr>
            <w:tcW w:w="56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744B4925" w14:textId="77777777" w:rsidR="00677C22" w:rsidRDefault="004D052E">
            <w:pPr>
              <w:jc w:val="center"/>
            </w:pPr>
            <w:r>
              <w:rPr>
                <w:sz w:val="15"/>
                <w:szCs w:val="15"/>
              </w:rPr>
              <w:t>No</w:t>
            </w:r>
          </w:p>
        </w:tc>
        <w:tc>
          <w:tcPr>
            <w:tcW w:w="763"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074205B5" w14:textId="77777777" w:rsidR="00677C22" w:rsidRDefault="004D052E">
            <w:pPr>
              <w:jc w:val="center"/>
            </w:pPr>
            <w:r>
              <w:rPr>
                <w:sz w:val="15"/>
                <w:szCs w:val="15"/>
              </w:rPr>
              <w:t>No</w:t>
            </w:r>
          </w:p>
        </w:tc>
        <w:tc>
          <w:tcPr>
            <w:tcW w:w="865"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0AE1AE93" w14:textId="77777777" w:rsidR="00677C22" w:rsidRDefault="004D052E">
            <w:pPr>
              <w:jc w:val="center"/>
            </w:pPr>
            <w:r>
              <w:rPr>
                <w:sz w:val="15"/>
                <w:szCs w:val="15"/>
              </w:rPr>
              <w:t>Yes</w:t>
            </w:r>
          </w:p>
        </w:tc>
      </w:tr>
      <w:tr w:rsidR="00677C22" w14:paraId="081BB5A2" w14:textId="77777777">
        <w:tblPrEx>
          <w:tblCellMar>
            <w:top w:w="0" w:type="dxa"/>
            <w:bottom w:w="0" w:type="dxa"/>
          </w:tblCellMar>
        </w:tblPrEx>
        <w:trPr>
          <w:cantSplit/>
          <w:jc w:val="center"/>
        </w:trPr>
        <w:tc>
          <w:tcPr>
            <w:tcW w:w="1323"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1838231D" w14:textId="77777777" w:rsidR="00677C22" w:rsidRDefault="004D052E">
            <w:pPr>
              <w:jc w:val="center"/>
            </w:pPr>
            <w:r>
              <w:rPr>
                <w:sz w:val="15"/>
                <w:szCs w:val="15"/>
              </w:rPr>
              <w:t>Molecular view</w:t>
            </w:r>
          </w:p>
        </w:tc>
        <w:tc>
          <w:tcPr>
            <w:tcW w:w="763"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3CA7C4BC" w14:textId="77777777" w:rsidR="00677C22" w:rsidRDefault="004D052E">
            <w:pPr>
              <w:jc w:val="center"/>
            </w:pPr>
            <w:r>
              <w:rPr>
                <w:sz w:val="15"/>
                <w:szCs w:val="15"/>
              </w:rPr>
              <w:t>Static</w:t>
            </w:r>
          </w:p>
        </w:tc>
        <w:tc>
          <w:tcPr>
            <w:tcW w:w="763"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0B3338CA" w14:textId="77777777" w:rsidR="00677C22" w:rsidRDefault="004D052E">
            <w:pPr>
              <w:jc w:val="center"/>
            </w:pPr>
            <w:r>
              <w:rPr>
                <w:sz w:val="15"/>
                <w:szCs w:val="15"/>
              </w:rPr>
              <w:t>Partial</w:t>
            </w:r>
          </w:p>
        </w:tc>
        <w:tc>
          <w:tcPr>
            <w:tcW w:w="56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471664B7" w14:textId="77777777" w:rsidR="00677C22" w:rsidRDefault="004D052E">
            <w:pPr>
              <w:jc w:val="center"/>
            </w:pPr>
            <w:r>
              <w:rPr>
                <w:sz w:val="15"/>
                <w:szCs w:val="15"/>
              </w:rPr>
              <w:t>Yes</w:t>
            </w:r>
          </w:p>
        </w:tc>
        <w:tc>
          <w:tcPr>
            <w:tcW w:w="763"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41229753" w14:textId="77777777" w:rsidR="00677C22" w:rsidRDefault="004D052E">
            <w:pPr>
              <w:jc w:val="center"/>
            </w:pPr>
            <w:r>
              <w:rPr>
                <w:sz w:val="15"/>
                <w:szCs w:val="15"/>
              </w:rPr>
              <w:t>No</w:t>
            </w:r>
          </w:p>
        </w:tc>
        <w:tc>
          <w:tcPr>
            <w:tcW w:w="865"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671412A2" w14:textId="77777777" w:rsidR="00677C22" w:rsidRDefault="004D052E">
            <w:pPr>
              <w:jc w:val="center"/>
            </w:pPr>
            <w:r>
              <w:rPr>
                <w:sz w:val="15"/>
                <w:szCs w:val="15"/>
              </w:rPr>
              <w:t>8/8 live</w:t>
            </w:r>
          </w:p>
        </w:tc>
      </w:tr>
      <w:tr w:rsidR="00677C22" w14:paraId="7C9BB588" w14:textId="77777777">
        <w:tblPrEx>
          <w:tblCellMar>
            <w:top w:w="0" w:type="dxa"/>
            <w:bottom w:w="0" w:type="dxa"/>
          </w:tblCellMar>
        </w:tblPrEx>
        <w:trPr>
          <w:cantSplit/>
          <w:jc w:val="center"/>
        </w:trPr>
        <w:tc>
          <w:tcPr>
            <w:tcW w:w="1323"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2A13C718" w14:textId="77777777" w:rsidR="00677C22" w:rsidRDefault="004D052E">
            <w:pPr>
              <w:jc w:val="center"/>
            </w:pPr>
            <w:r>
              <w:rPr>
                <w:sz w:val="15"/>
                <w:szCs w:val="15"/>
              </w:rPr>
              <w:t>AI help</w:t>
            </w:r>
          </w:p>
        </w:tc>
        <w:tc>
          <w:tcPr>
            <w:tcW w:w="763"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53C9A2E2" w14:textId="77777777" w:rsidR="00677C22" w:rsidRDefault="004D052E">
            <w:pPr>
              <w:jc w:val="center"/>
            </w:pPr>
            <w:r>
              <w:rPr>
                <w:sz w:val="15"/>
                <w:szCs w:val="15"/>
              </w:rPr>
              <w:t>No</w:t>
            </w:r>
          </w:p>
        </w:tc>
        <w:tc>
          <w:tcPr>
            <w:tcW w:w="763"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797A96A8" w14:textId="77777777" w:rsidR="00677C22" w:rsidRDefault="004D052E">
            <w:pPr>
              <w:jc w:val="center"/>
            </w:pPr>
            <w:r>
              <w:rPr>
                <w:sz w:val="15"/>
                <w:szCs w:val="15"/>
              </w:rPr>
              <w:t>No</w:t>
            </w:r>
          </w:p>
        </w:tc>
        <w:tc>
          <w:tcPr>
            <w:tcW w:w="56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6EF2B413" w14:textId="77777777" w:rsidR="00677C22" w:rsidRDefault="004D052E">
            <w:pPr>
              <w:jc w:val="center"/>
            </w:pPr>
            <w:r>
              <w:rPr>
                <w:sz w:val="15"/>
                <w:szCs w:val="15"/>
              </w:rPr>
              <w:t>No</w:t>
            </w:r>
          </w:p>
        </w:tc>
        <w:tc>
          <w:tcPr>
            <w:tcW w:w="763"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6FF31F48" w14:textId="77777777" w:rsidR="00677C22" w:rsidRDefault="004D052E">
            <w:pPr>
              <w:jc w:val="center"/>
            </w:pPr>
            <w:r>
              <w:rPr>
                <w:sz w:val="15"/>
                <w:szCs w:val="15"/>
              </w:rPr>
              <w:t>Generic</w:t>
            </w:r>
          </w:p>
        </w:tc>
        <w:tc>
          <w:tcPr>
            <w:tcW w:w="865"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5D03FA07" w14:textId="77777777" w:rsidR="00677C22" w:rsidRDefault="004D052E">
            <w:pPr>
              <w:jc w:val="center"/>
            </w:pPr>
            <w:r>
              <w:rPr>
                <w:sz w:val="15"/>
                <w:szCs w:val="15"/>
              </w:rPr>
              <w:t>Live context</w:t>
            </w:r>
          </w:p>
        </w:tc>
      </w:tr>
      <w:tr w:rsidR="00677C22" w14:paraId="67A743C3" w14:textId="77777777">
        <w:tblPrEx>
          <w:tblCellMar>
            <w:top w:w="0" w:type="dxa"/>
            <w:bottom w:w="0" w:type="dxa"/>
          </w:tblCellMar>
        </w:tblPrEx>
        <w:trPr>
          <w:cantSplit/>
          <w:jc w:val="center"/>
        </w:trPr>
        <w:tc>
          <w:tcPr>
            <w:tcW w:w="1323"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7C901E2F" w14:textId="77777777" w:rsidR="00677C22" w:rsidRDefault="004D052E">
            <w:pPr>
              <w:jc w:val="center"/>
            </w:pPr>
            <w:r>
              <w:rPr>
                <w:sz w:val="15"/>
                <w:szCs w:val="15"/>
              </w:rPr>
              <w:t>Offline help</w:t>
            </w:r>
          </w:p>
        </w:tc>
        <w:tc>
          <w:tcPr>
            <w:tcW w:w="763"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3FE2F3F9" w14:textId="77777777" w:rsidR="00677C22" w:rsidRDefault="004D052E">
            <w:pPr>
              <w:jc w:val="center"/>
            </w:pPr>
            <w:r>
              <w:rPr>
                <w:sz w:val="15"/>
                <w:szCs w:val="15"/>
              </w:rPr>
              <w:t>-</w:t>
            </w:r>
          </w:p>
        </w:tc>
        <w:tc>
          <w:tcPr>
            <w:tcW w:w="763"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00B67DE3" w14:textId="77777777" w:rsidR="00677C22" w:rsidRDefault="004D052E">
            <w:pPr>
              <w:jc w:val="center"/>
            </w:pPr>
            <w:r>
              <w:rPr>
                <w:sz w:val="15"/>
                <w:szCs w:val="15"/>
              </w:rPr>
              <w:t>-</w:t>
            </w:r>
          </w:p>
        </w:tc>
        <w:tc>
          <w:tcPr>
            <w:tcW w:w="56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74082C8D" w14:textId="77777777" w:rsidR="00677C22" w:rsidRDefault="004D052E">
            <w:pPr>
              <w:jc w:val="center"/>
            </w:pPr>
            <w:r>
              <w:rPr>
                <w:sz w:val="15"/>
                <w:szCs w:val="15"/>
              </w:rPr>
              <w:t>-</w:t>
            </w:r>
          </w:p>
        </w:tc>
        <w:tc>
          <w:tcPr>
            <w:tcW w:w="763"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78A21B2D" w14:textId="77777777" w:rsidR="00677C22" w:rsidRDefault="004D052E">
            <w:pPr>
              <w:jc w:val="center"/>
            </w:pPr>
            <w:r>
              <w:rPr>
                <w:sz w:val="15"/>
                <w:szCs w:val="15"/>
              </w:rPr>
              <w:t>No</w:t>
            </w:r>
          </w:p>
        </w:tc>
        <w:tc>
          <w:tcPr>
            <w:tcW w:w="865"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7DF97FC2" w14:textId="77777777" w:rsidR="00677C22" w:rsidRDefault="004D052E">
            <w:pPr>
              <w:jc w:val="center"/>
            </w:pPr>
            <w:r>
              <w:rPr>
                <w:sz w:val="15"/>
                <w:szCs w:val="15"/>
              </w:rPr>
              <w:t>Yes</w:t>
            </w:r>
          </w:p>
        </w:tc>
      </w:tr>
      <w:tr w:rsidR="00677C22" w14:paraId="43D00487" w14:textId="77777777">
        <w:tblPrEx>
          <w:tblCellMar>
            <w:top w:w="0" w:type="dxa"/>
            <w:bottom w:w="0" w:type="dxa"/>
          </w:tblCellMar>
        </w:tblPrEx>
        <w:trPr>
          <w:cantSplit/>
          <w:jc w:val="center"/>
        </w:trPr>
        <w:tc>
          <w:tcPr>
            <w:tcW w:w="1323"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16DF8DA6" w14:textId="77777777" w:rsidR="00677C22" w:rsidRDefault="004D052E">
            <w:pPr>
              <w:jc w:val="center"/>
            </w:pPr>
            <w:r>
              <w:rPr>
                <w:sz w:val="15"/>
                <w:szCs w:val="15"/>
              </w:rPr>
              <w:t>History + assessment</w:t>
            </w:r>
          </w:p>
        </w:tc>
        <w:tc>
          <w:tcPr>
            <w:tcW w:w="763"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1949CBCF" w14:textId="77777777" w:rsidR="00677C22" w:rsidRDefault="004D052E">
            <w:pPr>
              <w:jc w:val="center"/>
            </w:pPr>
            <w:r>
              <w:rPr>
                <w:sz w:val="15"/>
                <w:szCs w:val="15"/>
              </w:rPr>
              <w:t>Partial</w:t>
            </w:r>
          </w:p>
        </w:tc>
        <w:tc>
          <w:tcPr>
            <w:tcW w:w="763"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3F1C8802" w14:textId="77777777" w:rsidR="00677C22" w:rsidRDefault="004D052E">
            <w:pPr>
              <w:jc w:val="center"/>
            </w:pPr>
            <w:r>
              <w:rPr>
                <w:sz w:val="15"/>
                <w:szCs w:val="15"/>
              </w:rPr>
              <w:t>No</w:t>
            </w:r>
          </w:p>
        </w:tc>
        <w:tc>
          <w:tcPr>
            <w:tcW w:w="56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449A9D54" w14:textId="77777777" w:rsidR="00677C22" w:rsidRDefault="004D052E">
            <w:pPr>
              <w:jc w:val="center"/>
            </w:pPr>
            <w:r>
              <w:rPr>
                <w:sz w:val="15"/>
                <w:szCs w:val="15"/>
              </w:rPr>
              <w:t>No</w:t>
            </w:r>
          </w:p>
        </w:tc>
        <w:tc>
          <w:tcPr>
            <w:tcW w:w="763"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7A9268DE" w14:textId="77777777" w:rsidR="00677C22" w:rsidRDefault="004D052E">
            <w:pPr>
              <w:jc w:val="center"/>
            </w:pPr>
            <w:r>
              <w:rPr>
                <w:sz w:val="15"/>
                <w:szCs w:val="15"/>
              </w:rPr>
              <w:t>No</w:t>
            </w:r>
          </w:p>
        </w:tc>
        <w:tc>
          <w:tcPr>
            <w:tcW w:w="865"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5DCE062E" w14:textId="77777777" w:rsidR="00677C22" w:rsidRDefault="004D052E">
            <w:pPr>
              <w:jc w:val="center"/>
            </w:pPr>
            <w:r>
              <w:rPr>
                <w:sz w:val="15"/>
                <w:szCs w:val="15"/>
              </w:rPr>
              <w:t>Yes</w:t>
            </w:r>
          </w:p>
        </w:tc>
      </w:tr>
    </w:tbl>
    <w:p w14:paraId="1E4A8583" w14:textId="77777777" w:rsidR="00677C22" w:rsidRDefault="00677C22">
      <w:pPr>
        <w:spacing w:after="80"/>
      </w:pPr>
    </w:p>
    <w:p w14:paraId="2BF0BD98" w14:textId="77777777" w:rsidR="00677C22" w:rsidRDefault="004D052E">
      <w:pPr>
        <w:keepNext/>
        <w:spacing w:before="80" w:after="40"/>
      </w:pPr>
      <w:r>
        <w:rPr>
          <w:i/>
          <w:iCs/>
        </w:rPr>
        <w:t>E. Discussion</w:t>
      </w:r>
    </w:p>
    <w:p w14:paraId="4DA6433D" w14:textId="77777777" w:rsidR="00677C22" w:rsidRDefault="004D052E">
      <w:pPr>
        <w:ind w:firstLine="288"/>
        <w:jc w:val="both"/>
      </w:pPr>
      <w:r>
        <w:t xml:space="preserve">Three design choices proved important. First, judging underdose only after a settling period separates </w:t>
      </w:r>
      <w:r>
        <w:rPr>
          <w:i/>
          <w:iCs/>
        </w:rPr>
        <w:t>unfinished</w:t>
      </w:r>
      <w:r>
        <w:t xml:space="preserve"> from </w:t>
      </w:r>
      <w:r>
        <w:rPr>
          <w:i/>
          <w:iCs/>
        </w:rPr>
        <w:t>wrong</w:t>
      </w:r>
      <w:r>
        <w:t>: without it, any learner who paused between reagents was failed, which the outcome matrix now guards against. Second, scoring the worst reagent rather than the average aligns the star rating with laboratory practice, where one careless measurement spoils a preparation regardless of how precise the others were. Third, the offline knowledge base is not merely a fallback; for questions about the bench it is more precise than a general model because it reads the engine's measurements directly, and it keeps all</w:t>
      </w:r>
      <w:r>
        <w:t xml:space="preserve"> four help features (why it failed, what happened, explain this graph, explain this animation) available with no network, microphone or service quota.</w:t>
      </w:r>
    </w:p>
    <w:p w14:paraId="7E6E5EE3" w14:textId="77777777" w:rsidR="00677C22" w:rsidRDefault="004D052E">
      <w:pPr>
        <w:ind w:firstLine="288"/>
        <w:jc w:val="both"/>
      </w:pPr>
      <w:r>
        <w:t xml:space="preserve">From a pedagogical perspective, Atomix operationalises the macro-micro-symbolic link [9]: the same reaction is seen as an </w:t>
      </w:r>
      <w:r>
        <w:lastRenderedPageBreak/>
        <w:t>experiment, as an animation of bonds and electrons, as a balanced equation and as an energy diagram, and the assistant can be asked about any of these views in the context of the learner's own attempt. Whether this integration yields measurable learning gains is the central question for the planned evaluation [6], [8].</w:t>
      </w:r>
    </w:p>
    <w:p w14:paraId="6B3B2199" w14:textId="77777777" w:rsidR="00677C22" w:rsidRDefault="004D052E">
      <w:pPr>
        <w:keepNext/>
        <w:spacing w:before="80" w:after="40"/>
      </w:pPr>
      <w:r>
        <w:rPr>
          <w:i/>
          <w:iCs/>
        </w:rPr>
        <w:t>F. Limitations</w:t>
      </w:r>
    </w:p>
    <w:p w14:paraId="5684E397" w14:textId="77777777" w:rsidR="00677C22" w:rsidRDefault="004D052E">
      <w:pPr>
        <w:ind w:firstLine="288"/>
        <w:jc w:val="both"/>
      </w:pPr>
      <w:r>
        <w:t>The results establish technical and functional viability, not learning gain: no controlled user study, usability survey or on-device frame-rate measurement has yet been performed. Offline answers cover only the eight reactions, offline speech is Windows-only, and coins are stored per machine.</w:t>
      </w:r>
    </w:p>
    <w:p w14:paraId="431BFF2F" w14:textId="77777777" w:rsidR="00677C22" w:rsidRDefault="004D052E">
      <w:pPr>
        <w:keepNext/>
        <w:spacing w:before="160" w:after="80"/>
        <w:jc w:val="center"/>
      </w:pPr>
      <w:r>
        <w:rPr>
          <w:smallCaps/>
        </w:rPr>
        <w:t>VI. Conclusion and Future Work</w:t>
      </w:r>
    </w:p>
    <w:p w14:paraId="2419740F" w14:textId="77777777" w:rsidR="00677C22" w:rsidRDefault="004D052E">
      <w:pPr>
        <w:ind w:firstLine="288"/>
        <w:jc w:val="both"/>
      </w:pPr>
      <w:r>
        <w:t>Atomix unifies free-hand, quantity-aware experimentation, molecular visualization, a live-context AI assistant that works offline, attempt history, thermodynamic graphs and randomized assessment in one application for VR and desktop. Its engine judges order, overdose, underdose and procedure against data-driven recipes and scores attempts fairly across difficulty levels, and the implementation passed every automated check run on its shipped logic. Future work will measure learning outcomes through a pre-tes</w:t>
      </w:r>
      <w:r>
        <w:t>t/post-test study with usability questionnaires, add titration, organic and electrochemistry experiments as new recipe assets, provide a teacher dashboard with accounts, and embed an on-device language model grounded on the knowledge base.</w:t>
      </w:r>
    </w:p>
    <w:p w14:paraId="7F862FF3" w14:textId="77777777" w:rsidR="00677C22" w:rsidRDefault="004D052E">
      <w:pPr>
        <w:keepNext/>
        <w:spacing w:before="160" w:after="80"/>
        <w:jc w:val="center"/>
      </w:pPr>
      <w:r>
        <w:rPr>
          <w:smallCaps/>
        </w:rPr>
        <w:t>References</w:t>
      </w:r>
    </w:p>
    <w:p w14:paraId="59EA6893" w14:textId="77777777" w:rsidR="00677C22" w:rsidRDefault="004D052E">
      <w:pPr>
        <w:tabs>
          <w:tab w:val="left" w:pos="360"/>
        </w:tabs>
        <w:spacing w:after="20"/>
        <w:ind w:left="360" w:hanging="360"/>
        <w:jc w:val="both"/>
      </w:pPr>
      <w:r>
        <w:rPr>
          <w:sz w:val="16"/>
          <w:szCs w:val="16"/>
        </w:rPr>
        <w:t>[1]</w:t>
      </w:r>
      <w:r>
        <w:rPr>
          <w:sz w:val="16"/>
          <w:szCs w:val="16"/>
        </w:rPr>
        <w:tab/>
        <w:t xml:space="preserve">S. Ramos, E. P. Pimentel, M. das G. B. Marietto, and W. T. Botelho, "Hands-on and virtual laboratories to undergraduate chemistry education: Toward a pedagogical integration," in </w:t>
      </w:r>
      <w:r>
        <w:rPr>
          <w:i/>
          <w:iCs/>
          <w:sz w:val="16"/>
          <w:szCs w:val="16"/>
        </w:rPr>
        <w:t>Proc. IEEE FIE</w:t>
      </w:r>
      <w:r>
        <w:rPr>
          <w:sz w:val="16"/>
          <w:szCs w:val="16"/>
        </w:rPr>
        <w:t>, 2016, pp. 1-8.</w:t>
      </w:r>
    </w:p>
    <w:p w14:paraId="10BAAD71" w14:textId="77777777" w:rsidR="00677C22" w:rsidRDefault="004D052E">
      <w:pPr>
        <w:tabs>
          <w:tab w:val="left" w:pos="360"/>
        </w:tabs>
        <w:spacing w:after="20"/>
        <w:ind w:left="360" w:hanging="360"/>
        <w:jc w:val="both"/>
      </w:pPr>
      <w:r>
        <w:rPr>
          <w:sz w:val="16"/>
          <w:szCs w:val="16"/>
        </w:rPr>
        <w:t>[2]</w:t>
      </w:r>
      <w:r>
        <w:rPr>
          <w:sz w:val="16"/>
          <w:szCs w:val="16"/>
        </w:rPr>
        <w:tab/>
        <w:t xml:space="preserve">M. Agarwal and S. Saha, "Learning chemistry through puzzle based game: Atoms to molecule," in </w:t>
      </w:r>
      <w:r>
        <w:rPr>
          <w:i/>
          <w:iCs/>
          <w:sz w:val="16"/>
          <w:szCs w:val="16"/>
        </w:rPr>
        <w:t>Proc. IEEE ICETA</w:t>
      </w:r>
      <w:r>
        <w:rPr>
          <w:sz w:val="16"/>
          <w:szCs w:val="16"/>
        </w:rPr>
        <w:t>, 2011, pp. 189-193.</w:t>
      </w:r>
    </w:p>
    <w:p w14:paraId="649C79F3" w14:textId="77777777" w:rsidR="00677C22" w:rsidRDefault="004D052E">
      <w:pPr>
        <w:tabs>
          <w:tab w:val="left" w:pos="360"/>
        </w:tabs>
        <w:spacing w:after="20"/>
        <w:ind w:left="360" w:hanging="360"/>
        <w:jc w:val="both"/>
      </w:pPr>
      <w:r>
        <w:rPr>
          <w:sz w:val="16"/>
          <w:szCs w:val="16"/>
        </w:rPr>
        <w:t>[3]</w:t>
      </w:r>
      <w:r>
        <w:rPr>
          <w:sz w:val="16"/>
          <w:szCs w:val="16"/>
        </w:rPr>
        <w:tab/>
        <w:t xml:space="preserve">A. L. Sanchez-Lopez </w:t>
      </w:r>
      <w:r>
        <w:rPr>
          <w:i/>
          <w:iCs/>
          <w:sz w:val="16"/>
          <w:szCs w:val="16"/>
        </w:rPr>
        <w:t>et al.</w:t>
      </w:r>
      <w:r>
        <w:rPr>
          <w:sz w:val="16"/>
          <w:szCs w:val="16"/>
        </w:rPr>
        <w:t xml:space="preserve">, "Enhancing chemistry laboratory teaching through gamification: The IQ-Mobile Race," in </w:t>
      </w:r>
      <w:r>
        <w:rPr>
          <w:i/>
          <w:iCs/>
          <w:sz w:val="16"/>
          <w:szCs w:val="16"/>
        </w:rPr>
        <w:t>Proc. IEEE TALE</w:t>
      </w:r>
      <w:r>
        <w:rPr>
          <w:sz w:val="16"/>
          <w:szCs w:val="16"/>
        </w:rPr>
        <w:t>, 2023, pp. 1-4.</w:t>
      </w:r>
    </w:p>
    <w:p w14:paraId="61FF5E6E" w14:textId="77777777" w:rsidR="00677C22" w:rsidRDefault="004D052E">
      <w:pPr>
        <w:tabs>
          <w:tab w:val="left" w:pos="360"/>
        </w:tabs>
        <w:spacing w:after="20"/>
        <w:ind w:left="360" w:hanging="360"/>
        <w:jc w:val="both"/>
      </w:pPr>
      <w:r>
        <w:rPr>
          <w:sz w:val="16"/>
          <w:szCs w:val="16"/>
        </w:rPr>
        <w:t>[4]</w:t>
      </w:r>
      <w:r>
        <w:rPr>
          <w:sz w:val="16"/>
          <w:szCs w:val="16"/>
        </w:rPr>
        <w:tab/>
        <w:t xml:space="preserve">J. T. Bell and H. S. Fogler, "The application of virtual reality to (chemical engineering) education," in </w:t>
      </w:r>
      <w:r>
        <w:rPr>
          <w:i/>
          <w:iCs/>
          <w:sz w:val="16"/>
          <w:szCs w:val="16"/>
        </w:rPr>
        <w:t>Proc. IEEE VR</w:t>
      </w:r>
      <w:r>
        <w:rPr>
          <w:sz w:val="16"/>
          <w:szCs w:val="16"/>
        </w:rPr>
        <w:t>, 2004, pp. 217-218.</w:t>
      </w:r>
    </w:p>
    <w:p w14:paraId="1CD6852B" w14:textId="77777777" w:rsidR="00677C22" w:rsidRDefault="004D052E">
      <w:pPr>
        <w:tabs>
          <w:tab w:val="left" w:pos="360"/>
        </w:tabs>
        <w:spacing w:after="20"/>
        <w:ind w:left="360" w:hanging="360"/>
        <w:jc w:val="both"/>
      </w:pPr>
      <w:r>
        <w:rPr>
          <w:sz w:val="16"/>
          <w:szCs w:val="16"/>
        </w:rPr>
        <w:t>[5]</w:t>
      </w:r>
      <w:r>
        <w:rPr>
          <w:sz w:val="16"/>
          <w:szCs w:val="16"/>
        </w:rPr>
        <w:tab/>
        <w:t xml:space="preserve">Y. Luo, P. Guo, S. Hasegawa, and M. Sato, "An interactive molecular visualization system for education in immersive multi-projection virtual environment," in </w:t>
      </w:r>
      <w:r>
        <w:rPr>
          <w:i/>
          <w:iCs/>
          <w:sz w:val="16"/>
          <w:szCs w:val="16"/>
        </w:rPr>
        <w:t>Proc. ICIG</w:t>
      </w:r>
      <w:r>
        <w:rPr>
          <w:sz w:val="16"/>
          <w:szCs w:val="16"/>
        </w:rPr>
        <w:t>, 2004, pp. 485-488.</w:t>
      </w:r>
    </w:p>
    <w:p w14:paraId="6CBF88FA" w14:textId="77777777" w:rsidR="00677C22" w:rsidRDefault="004D052E">
      <w:pPr>
        <w:tabs>
          <w:tab w:val="left" w:pos="360"/>
        </w:tabs>
        <w:spacing w:after="20"/>
        <w:ind w:left="360" w:hanging="360"/>
        <w:jc w:val="both"/>
      </w:pPr>
      <w:r>
        <w:rPr>
          <w:sz w:val="16"/>
          <w:szCs w:val="16"/>
        </w:rPr>
        <w:t>[6]</w:t>
      </w:r>
      <w:r>
        <w:rPr>
          <w:sz w:val="16"/>
          <w:szCs w:val="16"/>
        </w:rPr>
        <w:tab/>
        <w:t xml:space="preserve">T. Xie, Y. Li, and Y. Tang, "Effects of using immersive virtual reality for science education on learning outcomes: A randomized controlled pilot study," </w:t>
      </w:r>
      <w:r>
        <w:rPr>
          <w:i/>
          <w:iCs/>
          <w:sz w:val="16"/>
          <w:szCs w:val="16"/>
        </w:rPr>
        <w:t>IEEE Trans. Learn. Technol.</w:t>
      </w:r>
      <w:r>
        <w:rPr>
          <w:sz w:val="16"/>
          <w:szCs w:val="16"/>
        </w:rPr>
        <w:t>, vol. 16, no. 6, pp. 1045-1056, 2023.</w:t>
      </w:r>
    </w:p>
    <w:p w14:paraId="0AF6CE2B" w14:textId="77777777" w:rsidR="00677C22" w:rsidRDefault="004D052E">
      <w:pPr>
        <w:tabs>
          <w:tab w:val="left" w:pos="360"/>
        </w:tabs>
        <w:spacing w:after="20"/>
        <w:ind w:left="360" w:hanging="360"/>
        <w:jc w:val="both"/>
      </w:pPr>
      <w:r>
        <w:rPr>
          <w:sz w:val="16"/>
          <w:szCs w:val="16"/>
        </w:rPr>
        <w:t>[7]</w:t>
      </w:r>
      <w:r>
        <w:rPr>
          <w:sz w:val="16"/>
          <w:szCs w:val="16"/>
        </w:rPr>
        <w:tab/>
        <w:t xml:space="preserve">N. Sandu and E. Gide, "Adoption of AI-chatbots to enhance student learning experience in higher education in India," in </w:t>
      </w:r>
      <w:r>
        <w:rPr>
          <w:i/>
          <w:iCs/>
          <w:sz w:val="16"/>
          <w:szCs w:val="16"/>
        </w:rPr>
        <w:t>Proc. ITHET</w:t>
      </w:r>
      <w:r>
        <w:rPr>
          <w:sz w:val="16"/>
          <w:szCs w:val="16"/>
        </w:rPr>
        <w:t>, 2019, pp. 1-5.</w:t>
      </w:r>
    </w:p>
    <w:p w14:paraId="394FF81A" w14:textId="77777777" w:rsidR="00677C22" w:rsidRDefault="004D052E">
      <w:pPr>
        <w:tabs>
          <w:tab w:val="left" w:pos="360"/>
        </w:tabs>
        <w:spacing w:after="20"/>
        <w:ind w:left="360" w:hanging="360"/>
        <w:jc w:val="both"/>
      </w:pPr>
      <w:r>
        <w:rPr>
          <w:sz w:val="16"/>
          <w:szCs w:val="16"/>
        </w:rPr>
        <w:t>[8]</w:t>
      </w:r>
      <w:r>
        <w:rPr>
          <w:sz w:val="16"/>
          <w:szCs w:val="16"/>
        </w:rPr>
        <w:tab/>
        <w:t xml:space="preserve">M. P. Kurniawan, M. Suyanto, E. Utami, and Kusrini, "Educational game learning quality evaluation tool: A systematic literature review," in </w:t>
      </w:r>
      <w:r>
        <w:rPr>
          <w:i/>
          <w:iCs/>
          <w:sz w:val="16"/>
          <w:szCs w:val="16"/>
        </w:rPr>
        <w:t>Proc. ICICoS</w:t>
      </w:r>
      <w:r>
        <w:rPr>
          <w:sz w:val="16"/>
          <w:szCs w:val="16"/>
        </w:rPr>
        <w:t>, 2024.</w:t>
      </w:r>
    </w:p>
    <w:p w14:paraId="4BEDC4ED" w14:textId="77777777" w:rsidR="00677C22" w:rsidRDefault="004D052E">
      <w:pPr>
        <w:tabs>
          <w:tab w:val="left" w:pos="360"/>
        </w:tabs>
        <w:spacing w:after="20"/>
        <w:ind w:left="360" w:hanging="360"/>
        <w:jc w:val="both"/>
      </w:pPr>
      <w:r>
        <w:rPr>
          <w:sz w:val="16"/>
          <w:szCs w:val="16"/>
        </w:rPr>
        <w:t>[9]</w:t>
      </w:r>
      <w:r>
        <w:rPr>
          <w:sz w:val="16"/>
          <w:szCs w:val="16"/>
        </w:rPr>
        <w:tab/>
        <w:t xml:space="preserve">J. K. Gilbert and D. F. Treagust, Eds., </w:t>
      </w:r>
      <w:r>
        <w:rPr>
          <w:i/>
          <w:iCs/>
          <w:sz w:val="16"/>
          <w:szCs w:val="16"/>
        </w:rPr>
        <w:t>Multiple Representations in Chemical Education</w:t>
      </w:r>
      <w:r>
        <w:rPr>
          <w:sz w:val="16"/>
          <w:szCs w:val="16"/>
        </w:rPr>
        <w:t>. Dordrecht: Springer, 2009.</w:t>
      </w:r>
    </w:p>
    <w:p w14:paraId="7BA89CDF" w14:textId="77777777" w:rsidR="00677C22" w:rsidRDefault="004D052E">
      <w:pPr>
        <w:tabs>
          <w:tab w:val="left" w:pos="360"/>
        </w:tabs>
        <w:spacing w:after="20"/>
        <w:ind w:left="360" w:hanging="360"/>
        <w:jc w:val="both"/>
      </w:pPr>
      <w:r>
        <w:rPr>
          <w:sz w:val="16"/>
          <w:szCs w:val="16"/>
        </w:rPr>
        <w:t>[10]</w:t>
      </w:r>
      <w:r>
        <w:rPr>
          <w:sz w:val="16"/>
          <w:szCs w:val="16"/>
        </w:rPr>
        <w:tab/>
        <w:t>H.-K. Wu, J. S. Krajcik, and E. Soloway, "Using technology to support the development of conceptual understanding of chemical representations," 2000.</w:t>
      </w:r>
    </w:p>
    <w:p w14:paraId="0E9722FB" w14:textId="77777777" w:rsidR="00677C22" w:rsidRDefault="004D052E">
      <w:pPr>
        <w:tabs>
          <w:tab w:val="left" w:pos="360"/>
        </w:tabs>
        <w:spacing w:after="20"/>
        <w:ind w:left="360" w:hanging="360"/>
        <w:jc w:val="both"/>
      </w:pPr>
      <w:r>
        <w:rPr>
          <w:sz w:val="16"/>
          <w:szCs w:val="16"/>
        </w:rPr>
        <w:t>[11]</w:t>
      </w:r>
      <w:r>
        <w:rPr>
          <w:sz w:val="16"/>
          <w:szCs w:val="16"/>
        </w:rPr>
        <w:tab/>
        <w:t xml:space="preserve">E. Byusa, E. Kampire, and A. R. Mwesigye, "Game-based learning approach on students' motivation and understanding of chemistry concepts: A systematic review of literature," </w:t>
      </w:r>
      <w:r>
        <w:rPr>
          <w:i/>
          <w:iCs/>
          <w:sz w:val="16"/>
          <w:szCs w:val="16"/>
        </w:rPr>
        <w:t>Heliyon</w:t>
      </w:r>
      <w:r>
        <w:rPr>
          <w:sz w:val="16"/>
          <w:szCs w:val="16"/>
        </w:rPr>
        <w:t>, vol. 8, e09541, 2022.</w:t>
      </w:r>
    </w:p>
    <w:p w14:paraId="5725B659" w14:textId="77777777" w:rsidR="00677C22" w:rsidRDefault="004D052E">
      <w:pPr>
        <w:tabs>
          <w:tab w:val="left" w:pos="360"/>
        </w:tabs>
        <w:spacing w:after="20"/>
        <w:ind w:left="360" w:hanging="360"/>
        <w:jc w:val="both"/>
      </w:pPr>
      <w:r>
        <w:rPr>
          <w:sz w:val="16"/>
          <w:szCs w:val="16"/>
        </w:rPr>
        <w:t>[12]</w:t>
      </w:r>
      <w:r>
        <w:rPr>
          <w:sz w:val="16"/>
          <w:szCs w:val="16"/>
        </w:rPr>
        <w:tab/>
        <w:t xml:space="preserve">N. Ali and S. Ullah, "Review to analyze and compare virtual chemistry laboratories for their use in education," </w:t>
      </w:r>
      <w:r>
        <w:rPr>
          <w:i/>
          <w:iCs/>
          <w:sz w:val="16"/>
          <w:szCs w:val="16"/>
        </w:rPr>
        <w:t>J. Chem. Educ.</w:t>
      </w:r>
      <w:r>
        <w:rPr>
          <w:sz w:val="16"/>
          <w:szCs w:val="16"/>
        </w:rPr>
        <w:t>, vol. 97, no. 10, pp. 3563-3574, 2020.</w:t>
      </w:r>
    </w:p>
    <w:p w14:paraId="5CD152E4" w14:textId="77777777" w:rsidR="00677C22" w:rsidRDefault="004D052E">
      <w:pPr>
        <w:tabs>
          <w:tab w:val="left" w:pos="360"/>
        </w:tabs>
        <w:spacing w:after="20"/>
        <w:ind w:left="360" w:hanging="360"/>
        <w:jc w:val="both"/>
      </w:pPr>
      <w:r>
        <w:rPr>
          <w:sz w:val="16"/>
          <w:szCs w:val="16"/>
        </w:rPr>
        <w:t>[13]</w:t>
      </w:r>
      <w:r>
        <w:rPr>
          <w:sz w:val="16"/>
          <w:szCs w:val="16"/>
        </w:rPr>
        <w:tab/>
        <w:t xml:space="preserve">J. Alvarez Ramirez and A. Bueno, "Learning organic chemistry with virtual reality," in </w:t>
      </w:r>
      <w:r>
        <w:rPr>
          <w:i/>
          <w:iCs/>
          <w:sz w:val="16"/>
          <w:szCs w:val="16"/>
        </w:rPr>
        <w:t>Proc. IEEE ICEV</w:t>
      </w:r>
      <w:r>
        <w:rPr>
          <w:sz w:val="16"/>
          <w:szCs w:val="16"/>
        </w:rPr>
        <w:t>, 2020.</w:t>
      </w:r>
    </w:p>
    <w:p w14:paraId="6565D782" w14:textId="77777777" w:rsidR="00677C22" w:rsidRDefault="004D052E">
      <w:pPr>
        <w:tabs>
          <w:tab w:val="left" w:pos="360"/>
        </w:tabs>
        <w:spacing w:after="20"/>
        <w:ind w:left="360" w:hanging="360"/>
        <w:jc w:val="both"/>
      </w:pPr>
      <w:r>
        <w:rPr>
          <w:sz w:val="16"/>
          <w:szCs w:val="16"/>
        </w:rPr>
        <w:t>[14]</w:t>
      </w:r>
      <w:r>
        <w:rPr>
          <w:sz w:val="16"/>
          <w:szCs w:val="16"/>
        </w:rPr>
        <w:tab/>
        <w:t xml:space="preserve">I. Atmosukarto, W. S. Cheow, P. Iyer, N. Tong, and K. Yu, "Enhancing adaptive online chemistry course with AI-chatbot," in </w:t>
      </w:r>
      <w:r>
        <w:rPr>
          <w:i/>
          <w:iCs/>
          <w:sz w:val="16"/>
          <w:szCs w:val="16"/>
        </w:rPr>
        <w:t>Proc. IEEE TALE</w:t>
      </w:r>
      <w:r>
        <w:rPr>
          <w:sz w:val="16"/>
          <w:szCs w:val="16"/>
        </w:rPr>
        <w:t>, 2021.</w:t>
      </w:r>
    </w:p>
    <w:p w14:paraId="0F097889" w14:textId="77777777" w:rsidR="00677C22" w:rsidRDefault="004D052E">
      <w:pPr>
        <w:tabs>
          <w:tab w:val="left" w:pos="360"/>
        </w:tabs>
        <w:spacing w:after="20"/>
        <w:ind w:left="360" w:hanging="360"/>
        <w:jc w:val="both"/>
      </w:pPr>
      <w:r>
        <w:rPr>
          <w:sz w:val="16"/>
          <w:szCs w:val="16"/>
        </w:rPr>
        <w:t>[15]</w:t>
      </w:r>
      <w:r>
        <w:rPr>
          <w:sz w:val="16"/>
          <w:szCs w:val="16"/>
        </w:rPr>
        <w:tab/>
        <w:t>Unity Technologies, "Unity 6 User Manual," 2025. [Online]. Available: https://docs.unity3d.com/Manual/</w:t>
      </w:r>
    </w:p>
    <w:p w14:paraId="7961DF3B" w14:textId="77777777" w:rsidR="00677C22" w:rsidRDefault="004D052E">
      <w:pPr>
        <w:tabs>
          <w:tab w:val="left" w:pos="360"/>
        </w:tabs>
        <w:spacing w:after="20"/>
        <w:ind w:left="360" w:hanging="360"/>
        <w:jc w:val="both"/>
      </w:pPr>
      <w:r>
        <w:rPr>
          <w:sz w:val="16"/>
          <w:szCs w:val="16"/>
        </w:rPr>
        <w:t>[16]</w:t>
      </w:r>
      <w:r>
        <w:rPr>
          <w:sz w:val="16"/>
          <w:szCs w:val="16"/>
        </w:rPr>
        <w:tab/>
        <w:t>The Khronos Group, "The OpenXR Specification." [Online]. Available: https://registry.khronos.org/OpenXR/</w:t>
      </w:r>
    </w:p>
    <w:p w14:paraId="3ABDD4DE" w14:textId="77777777" w:rsidR="00677C22" w:rsidRDefault="004D052E">
      <w:pPr>
        <w:tabs>
          <w:tab w:val="left" w:pos="360"/>
        </w:tabs>
        <w:spacing w:after="20"/>
        <w:ind w:left="360" w:hanging="360"/>
        <w:jc w:val="both"/>
      </w:pPr>
      <w:r>
        <w:rPr>
          <w:sz w:val="16"/>
          <w:szCs w:val="16"/>
        </w:rPr>
        <w:t>[17]</w:t>
      </w:r>
      <w:r>
        <w:rPr>
          <w:sz w:val="16"/>
          <w:szCs w:val="16"/>
        </w:rPr>
        <w:tab/>
        <w:t>Unity Technologies, "XR Interaction Toolkit documentation." [Online]. Available: https://docs.unity3d.com/Packages/com.unity.xr.interaction.toolkit@latest</w:t>
      </w:r>
    </w:p>
    <w:p w14:paraId="1F9C1AFF" w14:textId="77777777" w:rsidR="00677C22" w:rsidRDefault="004D052E">
      <w:pPr>
        <w:tabs>
          <w:tab w:val="left" w:pos="360"/>
        </w:tabs>
        <w:spacing w:after="20"/>
        <w:ind w:left="360" w:hanging="360"/>
        <w:jc w:val="both"/>
      </w:pPr>
      <w:r>
        <w:rPr>
          <w:sz w:val="16"/>
          <w:szCs w:val="16"/>
        </w:rPr>
        <w:t>[18]</w:t>
      </w:r>
      <w:r>
        <w:rPr>
          <w:sz w:val="16"/>
          <w:szCs w:val="16"/>
        </w:rPr>
        <w:tab/>
        <w:t>Convai, "Convai documentation - Character API." [Online]. Available: https://docs.convai.com/</w:t>
      </w:r>
    </w:p>
    <w:sectPr w:rsidR="00677C22">
      <w:type w:val="continuous"/>
      <w:pgSz w:w="12240" w:h="15840"/>
      <w:pgMar w:top="1080" w:right="900" w:bottom="1440" w:left="900" w:header="708" w:footer="708"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025642"/>
    <w:multiLevelType w:val="hybridMultilevel"/>
    <w:tmpl w:val="A858CB9C"/>
    <w:lvl w:ilvl="0" w:tplc="BB7858F2" w:tentative="1">
      <w:start w:val="1"/>
      <w:numFmt w:val="bullet"/>
      <w:lvlText w:val="●"/>
      <w:lvlJc w:val="left"/>
      <w:pPr>
        <w:ind w:left="720" w:hanging="360"/>
      </w:pPr>
    </w:lvl>
    <w:lvl w:ilvl="1" w:tplc="93E0895E" w:tentative="1">
      <w:start w:val="1"/>
      <w:numFmt w:val="bullet"/>
      <w:lvlText w:val="○"/>
      <w:lvlJc w:val="left"/>
      <w:pPr>
        <w:ind w:left="1440" w:hanging="360"/>
      </w:pPr>
    </w:lvl>
    <w:lvl w:ilvl="2" w:tplc="6F929162" w:tentative="1">
      <w:start w:val="1"/>
      <w:numFmt w:val="bullet"/>
      <w:lvlText w:val="■"/>
      <w:lvlJc w:val="left"/>
      <w:pPr>
        <w:ind w:left="2160" w:hanging="360"/>
      </w:pPr>
    </w:lvl>
    <w:lvl w:ilvl="3" w:tplc="C59C649E" w:tentative="1">
      <w:start w:val="1"/>
      <w:numFmt w:val="bullet"/>
      <w:lvlText w:val="●"/>
      <w:lvlJc w:val="left"/>
      <w:pPr>
        <w:ind w:left="2880" w:hanging="360"/>
      </w:pPr>
    </w:lvl>
    <w:lvl w:ilvl="4" w:tplc="99F8494A" w:tentative="1">
      <w:start w:val="1"/>
      <w:numFmt w:val="bullet"/>
      <w:lvlText w:val="○"/>
      <w:lvlJc w:val="left"/>
      <w:pPr>
        <w:ind w:left="3600" w:hanging="360"/>
      </w:pPr>
    </w:lvl>
    <w:lvl w:ilvl="5" w:tplc="03F06118" w:tentative="1">
      <w:start w:val="1"/>
      <w:numFmt w:val="bullet"/>
      <w:lvlText w:val="■"/>
      <w:lvlJc w:val="left"/>
      <w:pPr>
        <w:ind w:left="4320" w:hanging="360"/>
      </w:pPr>
    </w:lvl>
    <w:lvl w:ilvl="6" w:tplc="5E58ECDA" w:tentative="1">
      <w:start w:val="1"/>
      <w:numFmt w:val="bullet"/>
      <w:lvlText w:val="●"/>
      <w:lvlJc w:val="left"/>
      <w:pPr>
        <w:ind w:left="5040" w:hanging="360"/>
      </w:pPr>
    </w:lvl>
    <w:lvl w:ilvl="7" w:tplc="20A24F14" w:tentative="1">
      <w:start w:val="1"/>
      <w:numFmt w:val="bullet"/>
      <w:lvlText w:val="●"/>
      <w:lvlJc w:val="left"/>
      <w:pPr>
        <w:ind w:left="5760" w:hanging="360"/>
      </w:pPr>
    </w:lvl>
    <w:lvl w:ilvl="8" w:tplc="10E47AFA" w:tentative="1">
      <w:start w:val="1"/>
      <w:numFmt w:val="bullet"/>
      <w:lvlText w:val="●"/>
      <w:lvlJc w:val="left"/>
      <w:pPr>
        <w:ind w:left="6480" w:hanging="360"/>
      </w:pPr>
    </w:lvl>
  </w:abstractNum>
  <w:num w:numId="1" w16cid:durableId="10519964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7C22"/>
    <w:rsid w:val="003B7A03"/>
    <w:rsid w:val="004D052E"/>
    <w:rsid w:val="00677C22"/>
    <w:rsid w:val="006F43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22753"/>
  <w15:docId w15:val="{4AF1A7E0-0E9A-4851-9408-95621EC71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3426</Words>
  <Characters>19531</Characters>
  <Application>Microsoft Office Word</Application>
  <DocSecurity>0</DocSecurity>
  <Lines>162</Lines>
  <Paragraphs>45</Paragraphs>
  <ScaleCrop>false</ScaleCrop>
  <Company/>
  <LinksUpToDate>false</LinksUpToDate>
  <CharactersWithSpaces>22912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Atomix IEEE paper</dc:title>
  <dc:creator>K. D. Soni, D. M. Thakar, K. R. Verma, M. Phadke</dc:creator>
  <cp:lastModifiedBy>COMP_FY_B_50_23/24_SONI_KUSHAL</cp:lastModifiedBy>
  <cp:revision>2</cp:revision>
  <dcterms:created xsi:type="dcterms:W3CDTF">2026-10-02T08:15:00Z</dcterms:created>
  <dcterms:modified xsi:type="dcterms:W3CDTF">2026-10-02T08:15:00Z</dcterms:modified>
</cp:coreProperties>
</file>