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DN.2019-08/HUB-SCM/0008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05/08/2019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BNI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DRC BNI - Telco Room</w:t>
            </w:r>
          </w:p>
          <w:p w:rsidR="006F7C21" w:rsidRDefault="00CF5ADC" w:rsidP="006F7C21">
            <w:pPr>
              <w:ind w:left="312"/>
            </w:pPr>
            <w:r w:rsidRPr="00CF5ADC">
              <w:t>Jatiluhur, Kec. Purwakarta, Kabupaten Purwakarta</w:t>
            </w:r>
          </w:p>
          <w:p w:rsidR="00B41D6E" w:rsidRDefault="00CF5ADC" w:rsidP="00B41D6E">
            <w:pPr>
              <w:ind w:left="312"/>
            </w:pPr>
            <w:r w:rsidRPr="00CF5ADC">
              <w:t>Jawa Barat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Cisco 3945E/K9 Dual P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FTX1726AHST/FOC172369EP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-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Dipasang di DRC BNI JAH (Telco Room) untuk Router Backhaul ATM dan Oulet BNI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Doni Rafiandi</w:t>
            </w:r>
            <w:r>
              <w:tab/>
            </w:r>
            <w:r w:rsidR="00CF5ADC" w:rsidRPr="00CF5ADC">
              <w:t>Chintya Eka P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