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SI.2019-05/HUB-SA/0001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22/01/2019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Lintas Artha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Lintas Artha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Jatiluhur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Purwakarta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PT. Lintas Artha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Jatiluhur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Purwakarta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:22/01/2019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Rack 45 U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Budi Sutiyono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