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40"/>
        </w:rPr>
        <w:t>COMMUNITY ENGAGEMENT PROJECT (CEP) REPORT</w:t>
        <w:br/>
        <w:br/>
      </w:r>
    </w:p>
    <w:p>
      <w:pPr>
        <w:jc w:val="center"/>
      </w:pPr>
      <w:r>
        <w:rPr>
          <w:rFonts w:ascii="Times New Roman" w:hAnsi="Times New Roman"/>
          <w:b/>
          <w:color w:val="1E3A8A"/>
          <w:sz w:val="36"/>
        </w:rPr>
        <w:t>EMPIRICAL DATA ANALYTICS OF CAMPUS PLACEMENT ECOSYSTEMS: EVIDENCE-BASED INTERVENTIONS AND METRIC MODELS</w:t>
        <w:br/>
      </w:r>
      <w:r>
        <w:rPr>
          <w:rFonts w:ascii="Times New Roman" w:hAnsi="Times New Roman"/>
          <w:i/>
          <w:color w:val="475569"/>
          <w:sz w:val="24"/>
        </w:rPr>
        <w:t>A Quantitative Statistical Study on Information Latency, Student Satisfaction, and Skill Alignment across 200 Undergraduate Technology Cohorts</w:t>
        <w:br/>
        <w:br/>
      </w:r>
    </w:p>
    <w:p>
      <w:pPr>
        <w:spacing w:line="312" w:lineRule="auto"/>
        <w:jc w:val="center"/>
      </w:pPr>
      <w:r>
        <w:rPr>
          <w:rFonts w:ascii="Times New Roman" w:hAnsi="Times New Roman"/>
          <w:sz w:val="22"/>
        </w:rPr>
        <w:t>Submitted in Partial Fulfilment</w:t>
        <w:br/>
        <w:t>of the Requirements for the Award of the Degree of</w:t>
        <w:br/>
        <w:t>BACHELOR OF SCIENCE (DATA SCIENCE)</w:t>
        <w:br/>
        <w:t>SEMESTER V</w:t>
        <w:br/>
        <w:br/>
        <w:t>By</w:t>
        <w:br/>
        <w:t>VARUN PATIL</w:t>
        <w:br/>
        <w:t>Roll Number: 24302D0074</w:t>
        <w:br/>
        <w:t>(Data Analytics &amp; Statistical Research Specialist)</w:t>
        <w:br/>
        <w:br/>
        <w:t>Under the esteemed guidance of</w:t>
        <w:br/>
        <w:t>FACULTY PROJECT GUIDE</w:t>
        <w:br/>
        <w:t>Assistant / Associate Professor, Department of Computing</w:t>
        <w:br/>
        <w:br/>
        <w:t>DEPARTMENT OF COMPUTING</w:t>
        <w:br/>
        <w:t>VIDYALANKAR SCHOOL OF INFORMATION TECHNOLOGY</w:t>
        <w:br/>
        <w:t>(Autonomous College affiliated to University of Mumbai)</w:t>
        <w:br/>
        <w:t>MUMBAI - 400037, MAHARASHTRA</w:t>
        <w:br/>
        <w:t>ACADEMIC YEAR: 2026 - 2027</w:t>
        <w:br/>
      </w:r>
    </w:p>
    <w:p>
      <w:r>
        <w:br w:type="page"/>
      </w:r>
    </w:p>
    <w:p>
      <w:pPr>
        <w:jc w:val="center"/>
      </w:pPr>
      <w:r>
        <w:rPr>
          <w:b/>
          <w:sz w:val="28"/>
        </w:rPr>
        <w:t>VIDYALANKAR SCHOOL OF INFORMATION TECHNOLOGY</w:t>
        <w:br/>
      </w:r>
      <w:r>
        <w:rPr>
          <w:sz w:val="22"/>
        </w:rPr>
        <w:t>(Autonomous College affiliated to University of Mumbai)</w:t>
        <w:br/>
        <w:t>MUMBAI - 400037, MAHARASHTRA</w:t>
        <w:br/>
        <w:t>DEPARTMENT OF COMPUTING</w:t>
        <w:br/>
        <w:br/>
      </w:r>
    </w:p>
    <w:p>
      <w:pPr>
        <w:jc w:val="center"/>
      </w:pPr>
      <w:r>
        <w:rPr>
          <w:b/>
          <w:sz w:val="32"/>
          <w:u w:val="single"/>
        </w:rPr>
        <w:t>CERTIFICATE</w:t>
        <w:br/>
      </w:r>
    </w:p>
    <w:p>
      <w:pPr>
        <w:spacing w:after="120" w:line="360" w:lineRule="auto"/>
        <w:jc w:val="both"/>
      </w:pPr>
      <w:r>
        <w:rPr>
          <w:rFonts w:ascii="Times New Roman" w:hAnsi="Times New Roman"/>
          <w:sz w:val="22"/>
        </w:rPr>
        <w:t>I hereby certify that Mr. Varun Patil (Roll Number: 24302D0074), Student of Vidyalankar School of Information Technology, studying in T.Y. B.Sc. (Data Science) Semester V, has completed the Community Engagement Project (CEP) titled "EMPIRICAL DATA ANALYTICS OF CAMPUS PLACEMENT ECOSYSTEMS: EVIDENCE-BASED INTERVENTIONS AND METRIC MODELS" based on primary statistical surveying, quantitative data modeling, and field observations conducted across three visits to Guru Nanak Khalsa College of Arts, Science &amp; Commerce, Matunga, Mumbai, during the academic year 2026-2027.</w:t>
      </w:r>
    </w:p>
    <w:p>
      <w:pPr>
        <w:spacing w:after="120" w:line="360" w:lineRule="auto"/>
        <w:jc w:val="both"/>
      </w:pPr>
      <w:r>
        <w:rPr>
          <w:rFonts w:ascii="Times New Roman" w:hAnsi="Times New Roman"/>
          <w:sz w:val="22"/>
        </w:rPr>
        <w:t>The report represents authentic quantitative analytics, statistical validation, and evidence-based system modeling carried out by the candidate in partial fulfillment of the academic requirements prescribed by the University of Mumbai and Vidyalankar School of Information Technology.</w:t>
      </w:r>
    </w:p>
    <w:p>
      <w:pPr>
        <w:spacing w:before="720"/>
      </w:pPr>
    </w:p>
    <w:tbl>
      <w:tblPr>
        <w:tblW w:type="auto" w:w="0"/>
        <w:jc w:val="center"/>
        <w:tblLook w:firstColumn="1" w:firstRow="1" w:lastColumn="0" w:lastRow="0" w:noHBand="0" w:noVBand="1" w:val="04A0"/>
      </w:tblPr>
      <w:tblGrid>
        <w:gridCol w:w="4514"/>
        <w:gridCol w:w="4514"/>
      </w:tblGrid>
      <w:tr>
        <w:tc>
          <w:tcPr>
            <w:tcW w:type="dxa" w:w="4514"/>
          </w:tcPr>
          <w:p>
            <w:r>
              <w:t>________________________</w:t>
              <w:br/>
              <w:t>Internal Guide / Faculty Mentor</w:t>
              <w:br/>
              <w:t>Department of Computing</w:t>
            </w:r>
          </w:p>
        </w:tc>
        <w:tc>
          <w:tcPr>
            <w:tcW w:type="dxa" w:w="4514"/>
          </w:tcPr>
          <w:p>
            <w:r>
              <w:t>________________________</w:t>
              <w:br/>
              <w:t>Head of Department</w:t>
              <w:br/>
              <w:t>Department of Computing</w:t>
            </w:r>
          </w:p>
        </w:tc>
      </w:tr>
      <w:tr>
        <w:tc>
          <w:tcPr>
            <w:tcW w:type="dxa" w:w="4514"/>
          </w:tcPr>
          <w:p>
            <w:r>
              <w:br/>
              <w:br/>
              <w:t>________________________</w:t>
              <w:br/>
              <w:t>Internal Examiner</w:t>
              <w:br/>
              <w:t>Date:</w:t>
            </w:r>
          </w:p>
        </w:tc>
        <w:tc>
          <w:tcPr>
            <w:tcW w:type="dxa" w:w="4514"/>
          </w:tcPr>
          <w:p>
            <w:r>
              <w:br/>
              <w:br/>
              <w:t>________________________</w:t>
              <w:br/>
              <w:t>External Examiner</w:t>
              <w:br/>
              <w:t>College Seal</w:t>
            </w:r>
          </w:p>
        </w:tc>
      </w:tr>
    </w:tbl>
    <w:p>
      <w:r>
        <w:br w:type="page"/>
      </w:r>
    </w:p>
    <w:p>
      <w:pPr>
        <w:keepNext/>
        <w:spacing w:before="240" w:after="120"/>
      </w:pPr>
      <w:r>
        <w:rPr>
          <w:rFonts w:ascii="Times New Roman" w:hAnsi="Times New Roman"/>
          <w:b/>
          <w:color w:val="1E3A8A"/>
          <w:sz w:val="26"/>
        </w:rPr>
        <w:t>ATTACHMENT AND RECORD NOTICES</w:t>
      </w:r>
    </w:p>
    <w:p>
      <w:pPr>
        <w:spacing w:after="120" w:line="360" w:lineRule="auto"/>
        <w:jc w:val="both"/>
      </w:pPr>
      <w:r>
        <w:rPr>
          <w:rFonts w:ascii="Times New Roman" w:hAnsi="Times New Roman"/>
          <w:sz w:val="22"/>
        </w:rPr>
        <w:t>1. ATTACH Organization Visit Observation Sheet DULY SIGNED BY YOUR INDUSTRY REPORTING OFFICER AND MENTOR</w:t>
      </w:r>
    </w:p>
    <w:p>
      <w:pPr>
        <w:spacing w:after="120" w:line="360" w:lineRule="auto"/>
        <w:jc w:val="both"/>
      </w:pPr>
      <w:r>
        <w:rPr>
          <w:rFonts w:ascii="Times New Roman" w:hAnsi="Times New Roman"/>
          <w:sz w:val="22"/>
        </w:rPr>
        <w:t>2. ATTACH Project Guide Meeting Record DULY SIGNED BY YOUR MENTOR</w:t>
      </w:r>
    </w:p>
    <w:p>
      <w:pPr>
        <w:spacing w:after="120" w:line="360" w:lineRule="auto"/>
        <w:jc w:val="both"/>
      </w:pPr>
      <w:r>
        <w:rPr>
          <w:rFonts w:ascii="Times New Roman" w:hAnsi="Times New Roman"/>
          <w:sz w:val="22"/>
        </w:rPr>
        <w:t>Note: Official institutional observation sheets, statistical survey authentication logs, and faculty mentor records from Guru Nanak Khalsa College of Arts, Science &amp; Commerce, Matunga, are appended in the designated annexures.</w:t>
      </w:r>
    </w:p>
    <w:p>
      <w:r>
        <w:br w:type="page"/>
      </w:r>
    </w:p>
    <w:p>
      <w:pPr>
        <w:jc w:val="center"/>
      </w:pPr>
      <w:r>
        <w:rPr>
          <w:b/>
          <w:sz w:val="32"/>
          <w:u w:val="single"/>
        </w:rPr>
        <w:t>DECLARATION</w:t>
        <w:br/>
      </w:r>
    </w:p>
    <w:p>
      <w:pPr>
        <w:spacing w:after="120" w:line="360" w:lineRule="auto"/>
        <w:jc w:val="both"/>
      </w:pPr>
      <w:r>
        <w:rPr>
          <w:rFonts w:ascii="Times New Roman" w:hAnsi="Times New Roman"/>
          <w:sz w:val="22"/>
        </w:rPr>
        <w:t>I, Mr. Varun Patil (Roll Number: 24302D0074), Student of Vidyalankar School of Information Technology, studying in T.Y. B.Sc. in Data Science, Semester V, hereby declare that I have completed the Community Engagement Project titled "EMPIRICAL DATA ANALYTICS OF CAMPUS PLACEMENT ECOSYSTEMS: EVIDENCE-BASED INTERVENTIONS AND METRIC MODELS" during the academic year 2026-2027.</w:t>
      </w:r>
    </w:p>
    <w:p>
      <w:pPr>
        <w:spacing w:after="120" w:line="360" w:lineRule="auto"/>
        <w:jc w:val="both"/>
      </w:pPr>
      <w:r>
        <w:rPr>
          <w:rFonts w:ascii="Times New Roman" w:hAnsi="Times New Roman"/>
          <w:sz w:val="22"/>
        </w:rPr>
        <w:t>The empirical survey dataset (encompassing 200 validated student records), cross-tabulation analyses, quantitative distributions, and field observations presented in this report were gathered firsthand through three scheduled field visits to Guru Nanak Khalsa College of Arts, Science &amp; Commerce, Matunga, Mumbai, and our manual distribution of a 12-question Google Form questionnaire across undergraduate Computer Science, Information Technology, and Data Science cohorts.</w:t>
      </w:r>
    </w:p>
    <w:p>
      <w:pPr>
        <w:spacing w:after="120" w:line="360" w:lineRule="auto"/>
        <w:jc w:val="both"/>
      </w:pPr>
      <w:r>
        <w:rPr>
          <w:rFonts w:ascii="Times New Roman" w:hAnsi="Times New Roman"/>
          <w:sz w:val="22"/>
        </w:rPr>
        <w:t>I declare that this report represents my independent analytical perspective, statistical methodologies, and quantitative synthesis as a Data Science student, and has not been submitted previously for any other academic degree or qualification.</w:t>
      </w:r>
    </w:p>
    <w:p>
      <w:pPr>
        <w:spacing w:before="600"/>
      </w:pPr>
      <w:r>
        <w:t>Date: 04 October 2026</w:t>
        <w:br/>
        <w:t>Place: Mumbai</w:t>
        <w:br/>
        <w:br/>
        <w:t>_________________________________________</w:t>
        <w:br/>
        <w:t>Signature of the Student: Varun Patil</w:t>
        <w:br/>
        <w:t>Roll Number: 24302D0074</w:t>
        <w:br/>
        <w:t>T.Y. B.Sc. (Data Science), Sem V</w:t>
      </w:r>
    </w:p>
    <w:p>
      <w:r>
        <w:br w:type="page"/>
      </w:r>
    </w:p>
    <w:p>
      <w:pPr>
        <w:jc w:val="center"/>
      </w:pPr>
      <w:r>
        <w:rPr>
          <w:b/>
          <w:sz w:val="32"/>
          <w:u w:val="single"/>
        </w:rPr>
        <w:t>ACKNOWLEDGEMENT</w:t>
        <w:br/>
      </w:r>
    </w:p>
    <w:p>
      <w:pPr>
        <w:spacing w:after="120" w:line="360" w:lineRule="auto"/>
        <w:jc w:val="both"/>
      </w:pPr>
      <w:r>
        <w:rPr>
          <w:rFonts w:ascii="Times New Roman" w:hAnsi="Times New Roman"/>
          <w:sz w:val="22"/>
        </w:rPr>
        <w:t>I express my profound gratitude to the University of Mumbai and Vidyalankar School of Information Technology for incorporating the Community Engagement Project (CEP) into our Data Science curriculum. It provided an exceptional opportunity to apply real-world exploratory data analysis, statistical sampling, and hypothesis verification to a vital community issue.</w:t>
      </w:r>
    </w:p>
    <w:p>
      <w:pPr>
        <w:spacing w:after="120" w:line="360" w:lineRule="auto"/>
        <w:jc w:val="both"/>
      </w:pPr>
      <w:r>
        <w:rPr>
          <w:rFonts w:ascii="Times New Roman" w:hAnsi="Times New Roman"/>
          <w:sz w:val="22"/>
        </w:rPr>
        <w:t>I extend my sincere thanks to our Faculty Mentor and Project Guide for their continuous guidance, expert feedback on survey design and statistical rigor, and encouraging mentorship throughout this project.</w:t>
      </w:r>
    </w:p>
    <w:p>
      <w:pPr>
        <w:spacing w:after="120" w:line="360" w:lineRule="auto"/>
        <w:jc w:val="both"/>
      </w:pPr>
      <w:r>
        <w:rPr>
          <w:rFonts w:ascii="Times New Roman" w:hAnsi="Times New Roman"/>
          <w:sz w:val="22"/>
        </w:rPr>
        <w:t>I am equally grateful to the leadership, department heads, and faculty placement coordinators of Guru Nanak Khalsa College of Arts, Science &amp; Commerce, Matunga, Mumbai, for granting us access to their campus, assisting in questionnaire distribution, and engaging in open discussions regarding institutional metrics. Most importantly, I thank the 200 student participants from Computer Science, Information Technology, and Data Science who completed our Google Form survey with great diligence.</w:t>
      </w:r>
    </w:p>
    <w:p>
      <w:pPr>
        <w:spacing w:after="120" w:line="360" w:lineRule="auto"/>
        <w:jc w:val="both"/>
      </w:pPr>
      <w:r>
        <w:rPr>
          <w:rFonts w:ascii="Times New Roman" w:hAnsi="Times New Roman"/>
          <w:sz w:val="22"/>
        </w:rPr>
        <w:t>I express my deep appreciation to my teammates—Dhiraj Tendulkar (Team Leader), Vidhi Mahato, and Gaurav Mhatre. Collaborating with them across all three days of field visits at Khalsa College was an enriching experience that reinforced the power of interdisciplinary teamwork.</w:t>
      </w:r>
    </w:p>
    <w:p>
      <w:r>
        <w:br w:type="page"/>
      </w:r>
    </w:p>
    <w:p>
      <w:pPr>
        <w:jc w:val="center"/>
      </w:pPr>
      <w:r>
        <w:rPr>
          <w:b/>
          <w:sz w:val="32"/>
          <w:u w:val="single"/>
        </w:rPr>
        <w:t>ABSTRACT</w:t>
        <w:br/>
      </w:r>
    </w:p>
    <w:p>
      <w:pPr>
        <w:spacing w:after="120" w:line="360" w:lineRule="auto"/>
        <w:jc w:val="both"/>
      </w:pPr>
      <w:r>
        <w:rPr>
          <w:rFonts w:ascii="Times New Roman" w:hAnsi="Times New Roman"/>
          <w:sz w:val="22"/>
        </w:rPr>
        <w:t>In the domain of educational administration, strategic decisions governing campus placements are frequently made based on anecdotal impressions rather than rigorous empirical data analytics. This Community Engagement Project applies data science methodologies to investigate the structural bottlenecks of collegiate recruitment ecosystems. The research was executed through three scheduled field visits to Guru Nanak Khalsa College of Arts, Science &amp; Commerce, Matunga, Mumbai, supported by a structured 12-question Google Form survey distributed manually across undergraduate technical cohorts. A total of 200 verified student responses were captured, encompassing 80 Computer Science (CS), 60 Information Technology (IT), and 60 Data Science (DS) candidates.</w:t>
      </w:r>
    </w:p>
    <w:p>
      <w:pPr>
        <w:spacing w:after="120" w:line="360" w:lineRule="auto"/>
        <w:jc w:val="both"/>
      </w:pPr>
      <w:r>
        <w:rPr>
          <w:rFonts w:ascii="Times New Roman" w:hAnsi="Times New Roman"/>
          <w:sz w:val="22"/>
        </w:rPr>
        <w:t>Descriptive and cross-tabulation statistical analyses revealed alarming systemic disparities: 72.5% of surveyed students (145/200) report that existing placement setups leave their career needs either unmet (26.0%) or only partly met (46.5%). Information timeliness emerged as a primary failure point, with 61.0% receiving placement notices rarely or only sometimes early enough to prepare, contributing to 71.0% of technical candidates missing or scrambling during critical online coding assessment windows. Furthermore, 68.0% of participants classified generic college aptitude training as not useful or irrelevant to modern technical interviews. In response to these quantified deficits, our team developed and tested 'Skill Bridge,' an integrated community employment portal. Skill Bridge features an explainable, deterministic skill-matching engine, practical workshop quota management, and an anonymous grievance resolution desk. Validated through usability testing across two successive cohorts at Khalsa College, unassisted task success rates improved from 87.5% to 97.5%, proving that data-driven, transparent intervention significantly elevates collegiate placement readiness in alignment with UN SDG 4 and SDG 8.</w:t>
      </w:r>
    </w:p>
    <w:p>
      <w:r>
        <w:br w:type="page"/>
      </w:r>
    </w:p>
    <w:p>
      <w:pPr>
        <w:jc w:val="center"/>
      </w:pPr>
      <w:r>
        <w:rPr>
          <w:b/>
          <w:sz w:val="32"/>
          <w:u w:val="single"/>
        </w:rPr>
        <w:t>TABLE OF CONTENTS</w:t>
        <w:br/>
      </w:r>
    </w:p>
    <w:tbl>
      <w:tblPr>
        <w:tblW w:type="auto" w:w="0"/>
        <w:jc w:val="center"/>
        <w:tblLook w:firstColumn="1" w:firstRow="1" w:lastColumn="0" w:lastRow="0" w:noHBand="0" w:noVBand="1" w:val="04A0"/>
      </w:tblPr>
      <w:tblGrid>
        <w:gridCol w:w="4514"/>
        <w:gridCol w:w="4514"/>
      </w:tblGrid>
      <w:tr>
        <w:tc>
          <w:tcPr>
            <w:tcW w:type="dxa" w:w="7920"/>
          </w:tcPr>
          <w:p>
            <w:pPr>
              <w:spacing w:line="276" w:lineRule="auto" w:after="40"/>
            </w:pPr>
            <w:r>
              <w:rPr>
                <w:rFonts w:ascii="Times New Roman" w:hAnsi="Times New Roman"/>
                <w:b/>
                <w:sz w:val="21"/>
              </w:rPr>
              <w:t>CHAPTER 1: INTRODUCTION</w:t>
            </w:r>
          </w:p>
        </w:tc>
        <w:tc>
          <w:tcPr>
            <w:tcW w:type="dxa" w:w="1440"/>
          </w:tcPr>
          <w:p>
            <w:pPr>
              <w:spacing w:line="276" w:lineRule="auto" w:after="40"/>
              <w:jc w:val="right"/>
            </w:pPr>
            <w:r>
              <w:rPr>
                <w:rFonts w:ascii="Times New Roman" w:hAnsi="Times New Roman"/>
                <w:sz w:val="21"/>
              </w:rPr>
              <w:t>1</w:t>
            </w:r>
          </w:p>
        </w:tc>
      </w:tr>
      <w:tr>
        <w:tc>
          <w:tcPr>
            <w:tcW w:type="dxa" w:w="7920"/>
          </w:tcPr>
          <w:p>
            <w:pPr>
              <w:spacing w:line="276" w:lineRule="auto" w:after="40"/>
            </w:pPr>
            <w:r>
              <w:rPr>
                <w:rFonts w:ascii="Times New Roman" w:hAnsi="Times New Roman"/>
                <w:sz w:val="21"/>
              </w:rPr>
              <w:t xml:space="preserve">  1.1 Project Background: A Data Science Lens on Campus Recruitment</w:t>
            </w:r>
          </w:p>
        </w:tc>
        <w:tc>
          <w:tcPr>
            <w:tcW w:type="dxa" w:w="1440"/>
          </w:tcPr>
          <w:p>
            <w:pPr>
              <w:spacing w:line="276" w:lineRule="auto" w:after="40"/>
              <w:jc w:val="right"/>
            </w:pPr>
            <w:r>
              <w:rPr>
                <w:rFonts w:ascii="Times New Roman" w:hAnsi="Times New Roman"/>
                <w:sz w:val="21"/>
              </w:rPr>
              <w:t>1</w:t>
            </w:r>
          </w:p>
        </w:tc>
      </w:tr>
      <w:tr>
        <w:tc>
          <w:tcPr>
            <w:tcW w:type="dxa" w:w="7920"/>
          </w:tcPr>
          <w:p>
            <w:pPr>
              <w:spacing w:line="276" w:lineRule="auto" w:after="40"/>
            </w:pPr>
            <w:r>
              <w:rPr>
                <w:rFonts w:ascii="Times New Roman" w:hAnsi="Times New Roman"/>
                <w:sz w:val="21"/>
              </w:rPr>
              <w:t xml:space="preserve">  1.2 Problem Statement</w:t>
            </w:r>
          </w:p>
        </w:tc>
        <w:tc>
          <w:tcPr>
            <w:tcW w:type="dxa" w:w="1440"/>
          </w:tcPr>
          <w:p>
            <w:pPr>
              <w:spacing w:line="276" w:lineRule="auto" w:after="40"/>
              <w:jc w:val="right"/>
            </w:pPr>
            <w:r>
              <w:rPr>
                <w:rFonts w:ascii="Times New Roman" w:hAnsi="Times New Roman"/>
                <w:sz w:val="21"/>
              </w:rPr>
              <w:t>2</w:t>
            </w:r>
          </w:p>
        </w:tc>
      </w:tr>
      <w:tr>
        <w:tc>
          <w:tcPr>
            <w:tcW w:type="dxa" w:w="7920"/>
          </w:tcPr>
          <w:p>
            <w:pPr>
              <w:spacing w:line="276" w:lineRule="auto" w:after="40"/>
            </w:pPr>
            <w:r>
              <w:rPr>
                <w:rFonts w:ascii="Times New Roman" w:hAnsi="Times New Roman"/>
                <w:sz w:val="21"/>
              </w:rPr>
              <w:t xml:space="preserve">  1.3 Need for the Project: Evidence-Based Placement Administration</w:t>
            </w:r>
          </w:p>
        </w:tc>
        <w:tc>
          <w:tcPr>
            <w:tcW w:type="dxa" w:w="1440"/>
          </w:tcPr>
          <w:p>
            <w:pPr>
              <w:spacing w:line="276" w:lineRule="auto" w:after="40"/>
              <w:jc w:val="right"/>
            </w:pPr>
            <w:r>
              <w:rPr>
                <w:rFonts w:ascii="Times New Roman" w:hAnsi="Times New Roman"/>
                <w:sz w:val="21"/>
              </w:rPr>
              <w:t>3</w:t>
            </w:r>
          </w:p>
        </w:tc>
      </w:tr>
      <w:tr>
        <w:tc>
          <w:tcPr>
            <w:tcW w:type="dxa" w:w="7920"/>
          </w:tcPr>
          <w:p>
            <w:pPr>
              <w:spacing w:line="276" w:lineRule="auto" w:after="40"/>
            </w:pPr>
            <w:r>
              <w:rPr>
                <w:rFonts w:ascii="Times New Roman" w:hAnsi="Times New Roman"/>
                <w:sz w:val="21"/>
              </w:rPr>
              <w:t xml:space="preserve">  1.4 Objectives (Primary &amp; Secondary)</w:t>
            </w:r>
          </w:p>
        </w:tc>
        <w:tc>
          <w:tcPr>
            <w:tcW w:type="dxa" w:w="1440"/>
          </w:tcPr>
          <w:p>
            <w:pPr>
              <w:spacing w:line="276" w:lineRule="auto" w:after="40"/>
              <w:jc w:val="right"/>
            </w:pPr>
            <w:r>
              <w:rPr>
                <w:rFonts w:ascii="Times New Roman" w:hAnsi="Times New Roman"/>
                <w:sz w:val="21"/>
              </w:rPr>
              <w:t>4</w:t>
            </w:r>
          </w:p>
        </w:tc>
      </w:tr>
      <w:tr>
        <w:tc>
          <w:tcPr>
            <w:tcW w:type="dxa" w:w="7920"/>
          </w:tcPr>
          <w:p>
            <w:pPr>
              <w:spacing w:line="276" w:lineRule="auto" w:after="40"/>
            </w:pPr>
            <w:r>
              <w:rPr>
                <w:rFonts w:ascii="Times New Roman" w:hAnsi="Times New Roman"/>
                <w:sz w:val="21"/>
              </w:rPr>
              <w:t xml:space="preserve">  1.5 Scope &amp; Sampling Frame</w:t>
            </w:r>
          </w:p>
        </w:tc>
        <w:tc>
          <w:tcPr>
            <w:tcW w:type="dxa" w:w="1440"/>
          </w:tcPr>
          <w:p>
            <w:pPr>
              <w:spacing w:line="276" w:lineRule="auto" w:after="40"/>
              <w:jc w:val="right"/>
            </w:pPr>
            <w:r>
              <w:rPr>
                <w:rFonts w:ascii="Times New Roman" w:hAnsi="Times New Roman"/>
                <w:sz w:val="21"/>
              </w:rPr>
              <w:t>5</w:t>
            </w:r>
          </w:p>
        </w:tc>
      </w:tr>
      <w:tr>
        <w:tc>
          <w:tcPr>
            <w:tcW w:type="dxa" w:w="7920"/>
          </w:tcPr>
          <w:p>
            <w:pPr>
              <w:spacing w:line="276" w:lineRule="auto" w:after="40"/>
            </w:pPr>
            <w:r>
              <w:rPr>
                <w:rFonts w:ascii="Times New Roman" w:hAnsi="Times New Roman"/>
                <w:sz w:val="21"/>
              </w:rPr>
              <w:t xml:space="preserve">  1.6 SDG Alignment (SDG 4, 8, 10)</w:t>
            </w:r>
          </w:p>
        </w:tc>
        <w:tc>
          <w:tcPr>
            <w:tcW w:type="dxa" w:w="1440"/>
          </w:tcPr>
          <w:p>
            <w:pPr>
              <w:spacing w:line="276" w:lineRule="auto" w:after="40"/>
              <w:jc w:val="right"/>
            </w:pPr>
            <w:r>
              <w:rPr>
                <w:rFonts w:ascii="Times New Roman" w:hAnsi="Times New Roman"/>
                <w:sz w:val="21"/>
              </w:rPr>
              <w:t>6</w:t>
            </w:r>
          </w:p>
        </w:tc>
      </w:tr>
      <w:tr>
        <w:tc>
          <w:tcPr>
            <w:tcW w:type="dxa" w:w="7920"/>
          </w:tcPr>
          <w:p>
            <w:pPr>
              <w:spacing w:line="276" w:lineRule="auto" w:after="40"/>
            </w:pPr>
            <w:r>
              <w:rPr>
                <w:rFonts w:ascii="Times New Roman" w:hAnsi="Times New Roman"/>
                <w:b/>
                <w:sz w:val="21"/>
              </w:rPr>
              <w:t>CHAPTER 2: REQUIREMENT ANALYSIS AND LITERATURE REVIEW</w:t>
            </w:r>
          </w:p>
        </w:tc>
        <w:tc>
          <w:tcPr>
            <w:tcW w:type="dxa" w:w="1440"/>
          </w:tcPr>
          <w:p>
            <w:pPr>
              <w:spacing w:line="276" w:lineRule="auto" w:after="40"/>
              <w:jc w:val="right"/>
            </w:pPr>
            <w:r>
              <w:rPr>
                <w:rFonts w:ascii="Times New Roman" w:hAnsi="Times New Roman"/>
                <w:sz w:val="21"/>
              </w:rPr>
              <w:t>7</w:t>
            </w:r>
          </w:p>
        </w:tc>
      </w:tr>
      <w:tr>
        <w:tc>
          <w:tcPr>
            <w:tcW w:type="dxa" w:w="7920"/>
          </w:tcPr>
          <w:p>
            <w:pPr>
              <w:spacing w:line="276" w:lineRule="auto" w:after="40"/>
            </w:pPr>
            <w:r>
              <w:rPr>
                <w:rFonts w:ascii="Times New Roman" w:hAnsi="Times New Roman"/>
                <w:sz w:val="21"/>
              </w:rPr>
              <w:t xml:space="preserve">  2.1 Methodology Adopted: Survey Design &amp; Sampling Stratification</w:t>
            </w:r>
          </w:p>
        </w:tc>
        <w:tc>
          <w:tcPr>
            <w:tcW w:type="dxa" w:w="1440"/>
          </w:tcPr>
          <w:p>
            <w:pPr>
              <w:spacing w:line="276" w:lineRule="auto" w:after="40"/>
              <w:jc w:val="right"/>
            </w:pPr>
            <w:r>
              <w:rPr>
                <w:rFonts w:ascii="Times New Roman" w:hAnsi="Times New Roman"/>
                <w:sz w:val="21"/>
              </w:rPr>
              <w:t>7</w:t>
            </w:r>
          </w:p>
        </w:tc>
      </w:tr>
      <w:tr>
        <w:tc>
          <w:tcPr>
            <w:tcW w:type="dxa" w:w="7920"/>
          </w:tcPr>
          <w:p>
            <w:pPr>
              <w:spacing w:line="276" w:lineRule="auto" w:after="40"/>
            </w:pPr>
            <w:r>
              <w:rPr>
                <w:rFonts w:ascii="Times New Roman" w:hAnsi="Times New Roman"/>
                <w:sz w:val="21"/>
              </w:rPr>
              <w:t xml:space="preserve">  2.2 Stakeholder Interactions: Data-Driven Elicitation</w:t>
            </w:r>
          </w:p>
        </w:tc>
        <w:tc>
          <w:tcPr>
            <w:tcW w:type="dxa" w:w="1440"/>
          </w:tcPr>
          <w:p>
            <w:pPr>
              <w:spacing w:line="276" w:lineRule="auto" w:after="40"/>
              <w:jc w:val="right"/>
            </w:pPr>
            <w:r>
              <w:rPr>
                <w:rFonts w:ascii="Times New Roman" w:hAnsi="Times New Roman"/>
                <w:sz w:val="21"/>
              </w:rPr>
              <w:t>8</w:t>
            </w:r>
          </w:p>
        </w:tc>
      </w:tr>
      <w:tr>
        <w:tc>
          <w:tcPr>
            <w:tcW w:type="dxa" w:w="7920"/>
          </w:tcPr>
          <w:p>
            <w:pPr>
              <w:spacing w:line="276" w:lineRule="auto" w:after="40"/>
            </w:pPr>
            <w:r>
              <w:rPr>
                <w:rFonts w:ascii="Times New Roman" w:hAnsi="Times New Roman"/>
                <w:sz w:val="21"/>
              </w:rPr>
              <w:t xml:space="preserve">  2.3 Domain Overview: The Analytics of Campus Hiring Pipelines</w:t>
            </w:r>
          </w:p>
        </w:tc>
        <w:tc>
          <w:tcPr>
            <w:tcW w:type="dxa" w:w="1440"/>
          </w:tcPr>
          <w:p>
            <w:pPr>
              <w:spacing w:line="276" w:lineRule="auto" w:after="40"/>
              <w:jc w:val="right"/>
            </w:pPr>
            <w:r>
              <w:rPr>
                <w:rFonts w:ascii="Times New Roman" w:hAnsi="Times New Roman"/>
                <w:sz w:val="21"/>
              </w:rPr>
              <w:t>9</w:t>
            </w:r>
          </w:p>
        </w:tc>
      </w:tr>
      <w:tr>
        <w:tc>
          <w:tcPr>
            <w:tcW w:type="dxa" w:w="7920"/>
          </w:tcPr>
          <w:p>
            <w:pPr>
              <w:spacing w:line="276" w:lineRule="auto" w:after="40"/>
            </w:pPr>
            <w:r>
              <w:rPr>
                <w:rFonts w:ascii="Times New Roman" w:hAnsi="Times New Roman"/>
                <w:sz w:val="21"/>
              </w:rPr>
              <w:t xml:space="preserve">  2.4 Existing Process Analysis: Data Leakage and Information Lag</w:t>
            </w:r>
          </w:p>
        </w:tc>
        <w:tc>
          <w:tcPr>
            <w:tcW w:type="dxa" w:w="1440"/>
          </w:tcPr>
          <w:p>
            <w:pPr>
              <w:spacing w:line="276" w:lineRule="auto" w:after="40"/>
              <w:jc w:val="right"/>
            </w:pPr>
            <w:r>
              <w:rPr>
                <w:rFonts w:ascii="Times New Roman" w:hAnsi="Times New Roman"/>
                <w:sz w:val="21"/>
              </w:rPr>
              <w:t>10</w:t>
            </w:r>
          </w:p>
        </w:tc>
      </w:tr>
      <w:tr>
        <w:tc>
          <w:tcPr>
            <w:tcW w:type="dxa" w:w="7920"/>
          </w:tcPr>
          <w:p>
            <w:pPr>
              <w:spacing w:line="276" w:lineRule="auto" w:after="40"/>
            </w:pPr>
            <w:r>
              <w:rPr>
                <w:rFonts w:ascii="Times New Roman" w:hAnsi="Times New Roman"/>
                <w:sz w:val="21"/>
              </w:rPr>
              <w:t xml:space="preserve">  2.5 Existing Solutions: Why Commercial Portals Lack Metric Visibility</w:t>
            </w:r>
          </w:p>
        </w:tc>
        <w:tc>
          <w:tcPr>
            <w:tcW w:type="dxa" w:w="1440"/>
          </w:tcPr>
          <w:p>
            <w:pPr>
              <w:spacing w:line="276" w:lineRule="auto" w:after="40"/>
              <w:jc w:val="right"/>
            </w:pPr>
            <w:r>
              <w:rPr>
                <w:rFonts w:ascii="Times New Roman" w:hAnsi="Times New Roman"/>
                <w:sz w:val="21"/>
              </w:rPr>
              <w:t>11</w:t>
            </w:r>
          </w:p>
        </w:tc>
      </w:tr>
      <w:tr>
        <w:tc>
          <w:tcPr>
            <w:tcW w:type="dxa" w:w="7920"/>
          </w:tcPr>
          <w:p>
            <w:pPr>
              <w:spacing w:line="276" w:lineRule="auto" w:after="40"/>
            </w:pPr>
            <w:r>
              <w:rPr>
                <w:rFonts w:ascii="Times New Roman" w:hAnsi="Times New Roman"/>
                <w:sz w:val="21"/>
              </w:rPr>
              <w:t xml:space="preserve">  2.6 Technologies Studied: Analytical Models &amp; Relational Schemas</w:t>
            </w:r>
          </w:p>
        </w:tc>
        <w:tc>
          <w:tcPr>
            <w:tcW w:type="dxa" w:w="1440"/>
          </w:tcPr>
          <w:p>
            <w:pPr>
              <w:spacing w:line="276" w:lineRule="auto" w:after="40"/>
              <w:jc w:val="right"/>
            </w:pPr>
            <w:r>
              <w:rPr>
                <w:rFonts w:ascii="Times New Roman" w:hAnsi="Times New Roman"/>
                <w:sz w:val="21"/>
              </w:rPr>
              <w:t>12</w:t>
            </w:r>
          </w:p>
        </w:tc>
      </w:tr>
      <w:tr>
        <w:tc>
          <w:tcPr>
            <w:tcW w:type="dxa" w:w="7920"/>
          </w:tcPr>
          <w:p>
            <w:pPr>
              <w:spacing w:line="276" w:lineRule="auto" w:after="40"/>
            </w:pPr>
            <w:r>
              <w:rPr>
                <w:rFonts w:ascii="Times New Roman" w:hAnsi="Times New Roman"/>
                <w:sz w:val="21"/>
              </w:rPr>
              <w:t xml:space="preserve">  2.7 Research Gap: The Void in Empirical Field Studies</w:t>
            </w:r>
          </w:p>
        </w:tc>
        <w:tc>
          <w:tcPr>
            <w:tcW w:type="dxa" w:w="1440"/>
          </w:tcPr>
          <w:p>
            <w:pPr>
              <w:spacing w:line="276" w:lineRule="auto" w:after="40"/>
              <w:jc w:val="right"/>
            </w:pPr>
            <w:r>
              <w:rPr>
                <w:rFonts w:ascii="Times New Roman" w:hAnsi="Times New Roman"/>
                <w:sz w:val="21"/>
              </w:rPr>
              <w:t>13</w:t>
            </w:r>
          </w:p>
        </w:tc>
      </w:tr>
      <w:tr>
        <w:tc>
          <w:tcPr>
            <w:tcW w:type="dxa" w:w="7920"/>
          </w:tcPr>
          <w:p>
            <w:pPr>
              <w:spacing w:line="276" w:lineRule="auto" w:after="40"/>
            </w:pPr>
            <w:r>
              <w:rPr>
                <w:rFonts w:ascii="Times New Roman" w:hAnsi="Times New Roman"/>
                <w:sz w:val="21"/>
              </w:rPr>
              <w:t xml:space="preserve">  2.8 Challenges Identified &amp; Quantified</w:t>
            </w:r>
          </w:p>
        </w:tc>
        <w:tc>
          <w:tcPr>
            <w:tcW w:type="dxa" w:w="1440"/>
          </w:tcPr>
          <w:p>
            <w:pPr>
              <w:spacing w:line="276" w:lineRule="auto" w:after="40"/>
              <w:jc w:val="right"/>
            </w:pPr>
            <w:r>
              <w:rPr>
                <w:rFonts w:ascii="Times New Roman" w:hAnsi="Times New Roman"/>
                <w:sz w:val="21"/>
              </w:rPr>
              <w:t>14</w:t>
            </w:r>
          </w:p>
        </w:tc>
      </w:tr>
      <w:tr>
        <w:tc>
          <w:tcPr>
            <w:tcW w:type="dxa" w:w="7920"/>
          </w:tcPr>
          <w:p>
            <w:pPr>
              <w:spacing w:line="276" w:lineRule="auto" w:after="40"/>
            </w:pPr>
            <w:r>
              <w:rPr>
                <w:rFonts w:ascii="Times New Roman" w:hAnsi="Times New Roman"/>
                <w:b/>
                <w:sz w:val="21"/>
              </w:rPr>
              <w:t>CHAPTER 3: PROPOSED SOLUTION</w:t>
            </w:r>
          </w:p>
        </w:tc>
        <w:tc>
          <w:tcPr>
            <w:tcW w:type="dxa" w:w="1440"/>
          </w:tcPr>
          <w:p>
            <w:pPr>
              <w:spacing w:line="276" w:lineRule="auto" w:after="40"/>
              <w:jc w:val="right"/>
            </w:pPr>
            <w:r>
              <w:rPr>
                <w:rFonts w:ascii="Times New Roman" w:hAnsi="Times New Roman"/>
                <w:sz w:val="21"/>
              </w:rPr>
              <w:t>15</w:t>
            </w:r>
          </w:p>
        </w:tc>
      </w:tr>
      <w:tr>
        <w:tc>
          <w:tcPr>
            <w:tcW w:type="dxa" w:w="7920"/>
          </w:tcPr>
          <w:p>
            <w:pPr>
              <w:spacing w:line="276" w:lineRule="auto" w:after="40"/>
            </w:pPr>
            <w:r>
              <w:rPr>
                <w:rFonts w:ascii="Times New Roman" w:hAnsi="Times New Roman"/>
                <w:sz w:val="21"/>
              </w:rPr>
              <w:t xml:space="preserve">  3.1 Solution Overview: The Skill Bridge Data Architecture</w:t>
            </w:r>
          </w:p>
        </w:tc>
        <w:tc>
          <w:tcPr>
            <w:tcW w:type="dxa" w:w="1440"/>
          </w:tcPr>
          <w:p>
            <w:pPr>
              <w:spacing w:line="276" w:lineRule="auto" w:after="40"/>
              <w:jc w:val="right"/>
            </w:pPr>
            <w:r>
              <w:rPr>
                <w:rFonts w:ascii="Times New Roman" w:hAnsi="Times New Roman"/>
                <w:sz w:val="21"/>
              </w:rPr>
              <w:t>15</w:t>
            </w:r>
          </w:p>
        </w:tc>
      </w:tr>
      <w:tr>
        <w:tc>
          <w:tcPr>
            <w:tcW w:type="dxa" w:w="7920"/>
          </w:tcPr>
          <w:p>
            <w:pPr>
              <w:spacing w:line="276" w:lineRule="auto" w:after="40"/>
            </w:pPr>
            <w:r>
              <w:rPr>
                <w:rFonts w:ascii="Times New Roman" w:hAnsi="Times New Roman"/>
                <w:sz w:val="21"/>
              </w:rPr>
              <w:t xml:space="preserve">  3.2 System Architecture: Closed-Loop Metric Design</w:t>
            </w:r>
          </w:p>
        </w:tc>
        <w:tc>
          <w:tcPr>
            <w:tcW w:type="dxa" w:w="1440"/>
          </w:tcPr>
          <w:p>
            <w:pPr>
              <w:spacing w:line="276" w:lineRule="auto" w:after="40"/>
              <w:jc w:val="right"/>
            </w:pPr>
            <w:r>
              <w:rPr>
                <w:rFonts w:ascii="Times New Roman" w:hAnsi="Times New Roman"/>
                <w:sz w:val="21"/>
              </w:rPr>
              <w:t>16</w:t>
            </w:r>
          </w:p>
        </w:tc>
      </w:tr>
      <w:tr>
        <w:tc>
          <w:tcPr>
            <w:tcW w:type="dxa" w:w="7920"/>
          </w:tcPr>
          <w:p>
            <w:pPr>
              <w:spacing w:line="276" w:lineRule="auto" w:after="40"/>
            </w:pPr>
            <w:r>
              <w:rPr>
                <w:rFonts w:ascii="Times New Roman" w:hAnsi="Times New Roman"/>
                <w:sz w:val="21"/>
              </w:rPr>
              <w:t xml:space="preserve">  3.3 Process Flow Diagram</w:t>
            </w:r>
          </w:p>
        </w:tc>
        <w:tc>
          <w:tcPr>
            <w:tcW w:type="dxa" w:w="1440"/>
          </w:tcPr>
          <w:p>
            <w:pPr>
              <w:spacing w:line="276" w:lineRule="auto" w:after="40"/>
              <w:jc w:val="right"/>
            </w:pPr>
            <w:r>
              <w:rPr>
                <w:rFonts w:ascii="Times New Roman" w:hAnsi="Times New Roman"/>
                <w:sz w:val="21"/>
              </w:rPr>
              <w:t>17</w:t>
            </w:r>
          </w:p>
        </w:tc>
      </w:tr>
      <w:tr>
        <w:tc>
          <w:tcPr>
            <w:tcW w:type="dxa" w:w="7920"/>
          </w:tcPr>
          <w:p>
            <w:pPr>
              <w:spacing w:line="276" w:lineRule="auto" w:after="40"/>
            </w:pPr>
            <w:r>
              <w:rPr>
                <w:rFonts w:ascii="Times New Roman" w:hAnsi="Times New Roman"/>
                <w:sz w:val="21"/>
              </w:rPr>
              <w:t xml:space="preserve">  3.4 Module Description</w:t>
            </w:r>
          </w:p>
        </w:tc>
        <w:tc>
          <w:tcPr>
            <w:tcW w:type="dxa" w:w="1440"/>
          </w:tcPr>
          <w:p>
            <w:pPr>
              <w:spacing w:line="276" w:lineRule="auto" w:after="40"/>
              <w:jc w:val="right"/>
            </w:pPr>
            <w:r>
              <w:rPr>
                <w:rFonts w:ascii="Times New Roman" w:hAnsi="Times New Roman"/>
                <w:sz w:val="21"/>
              </w:rPr>
              <w:t>18</w:t>
            </w:r>
          </w:p>
        </w:tc>
      </w:tr>
      <w:tr>
        <w:tc>
          <w:tcPr>
            <w:tcW w:type="dxa" w:w="7920"/>
          </w:tcPr>
          <w:p>
            <w:pPr>
              <w:spacing w:line="276" w:lineRule="auto" w:after="40"/>
            </w:pPr>
            <w:r>
              <w:rPr>
                <w:rFonts w:ascii="Times New Roman" w:hAnsi="Times New Roman"/>
                <w:sz w:val="21"/>
              </w:rPr>
              <w:t xml:space="preserve">  3.5 Advantages: Measurable Transparency &amp; Real-Time Tracking</w:t>
            </w:r>
          </w:p>
        </w:tc>
        <w:tc>
          <w:tcPr>
            <w:tcW w:type="dxa" w:w="1440"/>
          </w:tcPr>
          <w:p>
            <w:pPr>
              <w:spacing w:line="276" w:lineRule="auto" w:after="40"/>
              <w:jc w:val="right"/>
            </w:pPr>
            <w:r>
              <w:rPr>
                <w:rFonts w:ascii="Times New Roman" w:hAnsi="Times New Roman"/>
                <w:sz w:val="21"/>
              </w:rPr>
              <w:t>19</w:t>
            </w:r>
          </w:p>
        </w:tc>
      </w:tr>
      <w:tr>
        <w:tc>
          <w:tcPr>
            <w:tcW w:type="dxa" w:w="7920"/>
          </w:tcPr>
          <w:p>
            <w:pPr>
              <w:spacing w:line="276" w:lineRule="auto" w:after="40"/>
            </w:pPr>
            <w:r>
              <w:rPr>
                <w:rFonts w:ascii="Times New Roman" w:hAnsi="Times New Roman"/>
                <w:b/>
                <w:sz w:val="21"/>
              </w:rPr>
              <w:t>CHAPTER 4: SYSTEM DESIGN</w:t>
            </w:r>
          </w:p>
        </w:tc>
        <w:tc>
          <w:tcPr>
            <w:tcW w:type="dxa" w:w="1440"/>
          </w:tcPr>
          <w:p>
            <w:pPr>
              <w:spacing w:line="276" w:lineRule="auto" w:after="40"/>
              <w:jc w:val="right"/>
            </w:pPr>
            <w:r>
              <w:rPr>
                <w:rFonts w:ascii="Times New Roman" w:hAnsi="Times New Roman"/>
                <w:sz w:val="21"/>
              </w:rPr>
              <w:t>20</w:t>
            </w:r>
          </w:p>
        </w:tc>
      </w:tr>
      <w:tr>
        <w:tc>
          <w:tcPr>
            <w:tcW w:type="dxa" w:w="7920"/>
          </w:tcPr>
          <w:p>
            <w:pPr>
              <w:spacing w:line="276" w:lineRule="auto" w:after="40"/>
            </w:pPr>
            <w:r>
              <w:rPr>
                <w:rFonts w:ascii="Times New Roman" w:hAnsi="Times New Roman"/>
                <w:sz w:val="21"/>
              </w:rPr>
              <w:t xml:space="preserve">  4.1 System Design Overview</w:t>
            </w:r>
          </w:p>
        </w:tc>
        <w:tc>
          <w:tcPr>
            <w:tcW w:type="dxa" w:w="1440"/>
          </w:tcPr>
          <w:p>
            <w:pPr>
              <w:spacing w:line="276" w:lineRule="auto" w:after="40"/>
              <w:jc w:val="right"/>
            </w:pPr>
            <w:r>
              <w:rPr>
                <w:rFonts w:ascii="Times New Roman" w:hAnsi="Times New Roman"/>
                <w:sz w:val="21"/>
              </w:rPr>
              <w:t>20</w:t>
            </w:r>
          </w:p>
        </w:tc>
      </w:tr>
      <w:tr>
        <w:tc>
          <w:tcPr>
            <w:tcW w:type="dxa" w:w="7920"/>
          </w:tcPr>
          <w:p>
            <w:pPr>
              <w:spacing w:line="276" w:lineRule="auto" w:after="40"/>
            </w:pPr>
            <w:r>
              <w:rPr>
                <w:rFonts w:ascii="Times New Roman" w:hAnsi="Times New Roman"/>
                <w:sz w:val="21"/>
              </w:rPr>
              <w:t xml:space="preserve">  4.2 Use Case Diagram &amp; Relational Flow Analysis</w:t>
            </w:r>
          </w:p>
        </w:tc>
        <w:tc>
          <w:tcPr>
            <w:tcW w:type="dxa" w:w="1440"/>
          </w:tcPr>
          <w:p>
            <w:pPr>
              <w:spacing w:line="276" w:lineRule="auto" w:after="40"/>
              <w:jc w:val="right"/>
            </w:pPr>
            <w:r>
              <w:rPr>
                <w:rFonts w:ascii="Times New Roman" w:hAnsi="Times New Roman"/>
                <w:sz w:val="21"/>
              </w:rPr>
              <w:t>21</w:t>
            </w:r>
          </w:p>
        </w:tc>
      </w:tr>
      <w:tr>
        <w:tc>
          <w:tcPr>
            <w:tcW w:type="dxa" w:w="7920"/>
          </w:tcPr>
          <w:p>
            <w:pPr>
              <w:spacing w:line="276" w:lineRule="auto" w:after="40"/>
            </w:pPr>
            <w:r>
              <w:rPr>
                <w:rFonts w:ascii="Times New Roman" w:hAnsi="Times New Roman"/>
                <w:sz w:val="21"/>
              </w:rPr>
              <w:t xml:space="preserve">  4.3 Workflow Diagram</w:t>
            </w:r>
          </w:p>
        </w:tc>
        <w:tc>
          <w:tcPr>
            <w:tcW w:type="dxa" w:w="1440"/>
          </w:tcPr>
          <w:p>
            <w:pPr>
              <w:spacing w:line="276" w:lineRule="auto" w:after="40"/>
              <w:jc w:val="right"/>
            </w:pPr>
            <w:r>
              <w:rPr>
                <w:rFonts w:ascii="Times New Roman" w:hAnsi="Times New Roman"/>
                <w:sz w:val="21"/>
              </w:rPr>
              <w:t>22</w:t>
            </w:r>
          </w:p>
        </w:tc>
      </w:tr>
      <w:tr>
        <w:tc>
          <w:tcPr>
            <w:tcW w:type="dxa" w:w="7920"/>
          </w:tcPr>
          <w:p>
            <w:pPr>
              <w:spacing w:line="276" w:lineRule="auto" w:after="40"/>
            </w:pPr>
            <w:r>
              <w:rPr>
                <w:rFonts w:ascii="Times New Roman" w:hAnsi="Times New Roman"/>
                <w:sz w:val="21"/>
              </w:rPr>
              <w:t xml:space="preserve">  4.4 Module Design Specifications</w:t>
            </w:r>
          </w:p>
        </w:tc>
        <w:tc>
          <w:tcPr>
            <w:tcW w:type="dxa" w:w="1440"/>
          </w:tcPr>
          <w:p>
            <w:pPr>
              <w:spacing w:line="276" w:lineRule="auto" w:after="40"/>
              <w:jc w:val="right"/>
            </w:pPr>
            <w:r>
              <w:rPr>
                <w:rFonts w:ascii="Times New Roman" w:hAnsi="Times New Roman"/>
                <w:sz w:val="21"/>
              </w:rPr>
              <w:t>23</w:t>
            </w:r>
          </w:p>
        </w:tc>
      </w:tr>
      <w:tr>
        <w:tc>
          <w:tcPr>
            <w:tcW w:type="dxa" w:w="7920"/>
          </w:tcPr>
          <w:p>
            <w:pPr>
              <w:spacing w:line="276" w:lineRule="auto" w:after="40"/>
            </w:pPr>
            <w:r>
              <w:rPr>
                <w:rFonts w:ascii="Times New Roman" w:hAnsi="Times New Roman"/>
                <w:b/>
                <w:sz w:val="21"/>
              </w:rPr>
              <w:t>CHAPTER 5: PROJECT IMPLEMENTATION</w:t>
            </w:r>
          </w:p>
        </w:tc>
        <w:tc>
          <w:tcPr>
            <w:tcW w:type="dxa" w:w="1440"/>
          </w:tcPr>
          <w:p>
            <w:pPr>
              <w:spacing w:line="276" w:lineRule="auto" w:after="40"/>
              <w:jc w:val="right"/>
            </w:pPr>
            <w:r>
              <w:rPr>
                <w:rFonts w:ascii="Times New Roman" w:hAnsi="Times New Roman"/>
                <w:sz w:val="21"/>
              </w:rPr>
              <w:t>24</w:t>
            </w:r>
          </w:p>
        </w:tc>
      </w:tr>
      <w:tr>
        <w:tc>
          <w:tcPr>
            <w:tcW w:type="dxa" w:w="7920"/>
          </w:tcPr>
          <w:p>
            <w:pPr>
              <w:spacing w:line="276" w:lineRule="auto" w:after="40"/>
            </w:pPr>
            <w:r>
              <w:rPr>
                <w:rFonts w:ascii="Times New Roman" w:hAnsi="Times New Roman"/>
                <w:sz w:val="21"/>
              </w:rPr>
              <w:t xml:space="preserve">  5.1 Development Methodology: Metric-Driven Iterative Sprints</w:t>
            </w:r>
          </w:p>
        </w:tc>
        <w:tc>
          <w:tcPr>
            <w:tcW w:type="dxa" w:w="1440"/>
          </w:tcPr>
          <w:p>
            <w:pPr>
              <w:spacing w:line="276" w:lineRule="auto" w:after="40"/>
              <w:jc w:val="right"/>
            </w:pPr>
            <w:r>
              <w:rPr>
                <w:rFonts w:ascii="Times New Roman" w:hAnsi="Times New Roman"/>
                <w:sz w:val="21"/>
              </w:rPr>
              <w:t>24</w:t>
            </w:r>
          </w:p>
        </w:tc>
      </w:tr>
      <w:tr>
        <w:tc>
          <w:tcPr>
            <w:tcW w:type="dxa" w:w="7920"/>
          </w:tcPr>
          <w:p>
            <w:pPr>
              <w:spacing w:line="276" w:lineRule="auto" w:after="40"/>
            </w:pPr>
            <w:r>
              <w:rPr>
                <w:rFonts w:ascii="Times New Roman" w:hAnsi="Times New Roman"/>
                <w:sz w:val="21"/>
              </w:rPr>
              <w:t xml:space="preserve">  5.2 Module-wise Implementation</w:t>
            </w:r>
          </w:p>
        </w:tc>
        <w:tc>
          <w:tcPr>
            <w:tcW w:type="dxa" w:w="1440"/>
          </w:tcPr>
          <w:p>
            <w:pPr>
              <w:spacing w:line="276" w:lineRule="auto" w:after="40"/>
              <w:jc w:val="right"/>
            </w:pPr>
            <w:r>
              <w:rPr>
                <w:rFonts w:ascii="Times New Roman" w:hAnsi="Times New Roman"/>
                <w:sz w:val="21"/>
              </w:rPr>
              <w:t>25</w:t>
            </w:r>
          </w:p>
        </w:tc>
      </w:tr>
      <w:tr>
        <w:tc>
          <w:tcPr>
            <w:tcW w:type="dxa" w:w="7920"/>
          </w:tcPr>
          <w:p>
            <w:pPr>
              <w:spacing w:line="276" w:lineRule="auto" w:after="40"/>
            </w:pPr>
            <w:r>
              <w:rPr>
                <w:rFonts w:ascii="Times New Roman" w:hAnsi="Times New Roman"/>
                <w:sz w:val="21"/>
              </w:rPr>
              <w:t xml:space="preserve">  5.3 User Interface Solution: Dashboard Analytics &amp; Ergonomics</w:t>
            </w:r>
          </w:p>
        </w:tc>
        <w:tc>
          <w:tcPr>
            <w:tcW w:type="dxa" w:w="1440"/>
          </w:tcPr>
          <w:p>
            <w:pPr>
              <w:spacing w:line="276" w:lineRule="auto" w:after="40"/>
              <w:jc w:val="right"/>
            </w:pPr>
            <w:r>
              <w:rPr>
                <w:rFonts w:ascii="Times New Roman" w:hAnsi="Times New Roman"/>
                <w:sz w:val="21"/>
              </w:rPr>
              <w:t>26</w:t>
            </w:r>
          </w:p>
        </w:tc>
      </w:tr>
      <w:tr>
        <w:tc>
          <w:tcPr>
            <w:tcW w:type="dxa" w:w="7920"/>
          </w:tcPr>
          <w:p>
            <w:pPr>
              <w:spacing w:line="276" w:lineRule="auto" w:after="40"/>
            </w:pPr>
            <w:r>
              <w:rPr>
                <w:rFonts w:ascii="Times New Roman" w:hAnsi="Times New Roman"/>
                <w:sz w:val="21"/>
              </w:rPr>
              <w:t xml:space="preserve">  5.4 Screenshots of Developed Solution</w:t>
            </w:r>
          </w:p>
        </w:tc>
        <w:tc>
          <w:tcPr>
            <w:tcW w:type="dxa" w:w="1440"/>
          </w:tcPr>
          <w:p>
            <w:pPr>
              <w:spacing w:line="276" w:lineRule="auto" w:after="40"/>
              <w:jc w:val="right"/>
            </w:pPr>
            <w:r>
              <w:rPr>
                <w:rFonts w:ascii="Times New Roman" w:hAnsi="Times New Roman"/>
                <w:sz w:val="21"/>
              </w:rPr>
              <w:t>27</w:t>
            </w:r>
          </w:p>
        </w:tc>
      </w:tr>
      <w:tr>
        <w:tc>
          <w:tcPr>
            <w:tcW w:type="dxa" w:w="7920"/>
          </w:tcPr>
          <w:p>
            <w:pPr>
              <w:spacing w:line="276" w:lineRule="auto" w:after="40"/>
            </w:pPr>
            <w:r>
              <w:rPr>
                <w:rFonts w:ascii="Times New Roman" w:hAnsi="Times New Roman"/>
                <w:b/>
                <w:sz w:val="21"/>
              </w:rPr>
              <w:t>CHAPTER 6: TESTING AND VALIDATION</w:t>
            </w:r>
          </w:p>
        </w:tc>
        <w:tc>
          <w:tcPr>
            <w:tcW w:type="dxa" w:w="1440"/>
          </w:tcPr>
          <w:p>
            <w:pPr>
              <w:spacing w:line="276" w:lineRule="auto" w:after="40"/>
              <w:jc w:val="right"/>
            </w:pPr>
            <w:r>
              <w:rPr>
                <w:rFonts w:ascii="Times New Roman" w:hAnsi="Times New Roman"/>
                <w:sz w:val="21"/>
              </w:rPr>
              <w:t>28</w:t>
            </w:r>
          </w:p>
        </w:tc>
      </w:tr>
      <w:tr>
        <w:tc>
          <w:tcPr>
            <w:tcW w:type="dxa" w:w="7920"/>
          </w:tcPr>
          <w:p>
            <w:pPr>
              <w:spacing w:line="276" w:lineRule="auto" w:after="40"/>
            </w:pPr>
            <w:r>
              <w:rPr>
                <w:rFonts w:ascii="Times New Roman" w:hAnsi="Times New Roman"/>
                <w:sz w:val="21"/>
              </w:rPr>
              <w:t xml:space="preserve">  6.1 Test Scenarios: Usability Task Benchmarks</w:t>
            </w:r>
          </w:p>
        </w:tc>
        <w:tc>
          <w:tcPr>
            <w:tcW w:type="dxa" w:w="1440"/>
          </w:tcPr>
          <w:p>
            <w:pPr>
              <w:spacing w:line="276" w:lineRule="auto" w:after="40"/>
              <w:jc w:val="right"/>
            </w:pPr>
            <w:r>
              <w:rPr>
                <w:rFonts w:ascii="Times New Roman" w:hAnsi="Times New Roman"/>
                <w:sz w:val="21"/>
              </w:rPr>
              <w:t>28</w:t>
            </w:r>
          </w:p>
        </w:tc>
      </w:tr>
      <w:tr>
        <w:tc>
          <w:tcPr>
            <w:tcW w:type="dxa" w:w="7920"/>
          </w:tcPr>
          <w:p>
            <w:pPr>
              <w:spacing w:line="276" w:lineRule="auto" w:after="40"/>
            </w:pPr>
            <w:r>
              <w:rPr>
                <w:rFonts w:ascii="Times New Roman" w:hAnsi="Times New Roman"/>
                <w:sz w:val="21"/>
              </w:rPr>
              <w:t xml:space="preserve">  6.2 Test Results Across Field Visits (Visit 2 vs Visit 3)</w:t>
            </w:r>
          </w:p>
        </w:tc>
        <w:tc>
          <w:tcPr>
            <w:tcW w:type="dxa" w:w="1440"/>
          </w:tcPr>
          <w:p>
            <w:pPr>
              <w:spacing w:line="276" w:lineRule="auto" w:after="40"/>
              <w:jc w:val="right"/>
            </w:pPr>
            <w:r>
              <w:rPr>
                <w:rFonts w:ascii="Times New Roman" w:hAnsi="Times New Roman"/>
                <w:sz w:val="21"/>
              </w:rPr>
              <w:t>29</w:t>
            </w:r>
          </w:p>
        </w:tc>
      </w:tr>
      <w:tr>
        <w:tc>
          <w:tcPr>
            <w:tcW w:type="dxa" w:w="7920"/>
          </w:tcPr>
          <w:p>
            <w:pPr>
              <w:spacing w:line="276" w:lineRule="auto" w:after="40"/>
            </w:pPr>
            <w:r>
              <w:rPr>
                <w:rFonts w:ascii="Times New Roman" w:hAnsi="Times New Roman"/>
                <w:sz w:val="21"/>
              </w:rPr>
              <w:t xml:space="preserve">  6.3 User Acceptance Testing at Khalsa College</w:t>
            </w:r>
          </w:p>
        </w:tc>
        <w:tc>
          <w:tcPr>
            <w:tcW w:type="dxa" w:w="1440"/>
          </w:tcPr>
          <w:p>
            <w:pPr>
              <w:spacing w:line="276" w:lineRule="auto" w:after="40"/>
              <w:jc w:val="right"/>
            </w:pPr>
            <w:r>
              <w:rPr>
                <w:rFonts w:ascii="Times New Roman" w:hAnsi="Times New Roman"/>
                <w:sz w:val="21"/>
              </w:rPr>
              <w:t>30</w:t>
            </w:r>
          </w:p>
        </w:tc>
      </w:tr>
      <w:tr>
        <w:tc>
          <w:tcPr>
            <w:tcW w:type="dxa" w:w="7920"/>
          </w:tcPr>
          <w:p>
            <w:pPr>
              <w:spacing w:line="276" w:lineRule="auto" w:after="40"/>
            </w:pPr>
            <w:r>
              <w:rPr>
                <w:rFonts w:ascii="Times New Roman" w:hAnsi="Times New Roman"/>
                <w:sz w:val="21"/>
              </w:rPr>
              <w:t xml:space="preserve">  6.4 Statistical Feedback Analysis &amp; System Tuning</w:t>
            </w:r>
          </w:p>
        </w:tc>
        <w:tc>
          <w:tcPr>
            <w:tcW w:type="dxa" w:w="1440"/>
          </w:tcPr>
          <w:p>
            <w:pPr>
              <w:spacing w:line="276" w:lineRule="auto" w:after="40"/>
              <w:jc w:val="right"/>
            </w:pPr>
            <w:r>
              <w:rPr>
                <w:rFonts w:ascii="Times New Roman" w:hAnsi="Times New Roman"/>
                <w:sz w:val="21"/>
              </w:rPr>
              <w:t>31</w:t>
            </w:r>
          </w:p>
        </w:tc>
      </w:tr>
      <w:tr>
        <w:tc>
          <w:tcPr>
            <w:tcW w:type="dxa" w:w="7920"/>
          </w:tcPr>
          <w:p>
            <w:pPr>
              <w:spacing w:line="276" w:lineRule="auto" w:after="40"/>
            </w:pPr>
            <w:r>
              <w:rPr>
                <w:rFonts w:ascii="Times New Roman" w:hAnsi="Times New Roman"/>
                <w:sz w:val="21"/>
              </w:rPr>
              <w:t xml:space="preserve">  6.5 Performance &amp; Latency Benchmarks</w:t>
            </w:r>
          </w:p>
        </w:tc>
        <w:tc>
          <w:tcPr>
            <w:tcW w:type="dxa" w:w="1440"/>
          </w:tcPr>
          <w:p>
            <w:pPr>
              <w:spacing w:line="276" w:lineRule="auto" w:after="40"/>
              <w:jc w:val="right"/>
            </w:pPr>
            <w:r>
              <w:rPr>
                <w:rFonts w:ascii="Times New Roman" w:hAnsi="Times New Roman"/>
                <w:sz w:val="21"/>
              </w:rPr>
              <w:t>32</w:t>
            </w:r>
          </w:p>
        </w:tc>
      </w:tr>
      <w:tr>
        <w:tc>
          <w:tcPr>
            <w:tcW w:type="dxa" w:w="7920"/>
          </w:tcPr>
          <w:p>
            <w:pPr>
              <w:spacing w:line="276" w:lineRule="auto" w:after="40"/>
            </w:pPr>
            <w:r>
              <w:rPr>
                <w:rFonts w:ascii="Times New Roman" w:hAnsi="Times New Roman"/>
                <w:b/>
                <w:sz w:val="21"/>
              </w:rPr>
              <w:t>CHAPTER 7: RESULTS AND IMPACT ASSESSMENT</w:t>
            </w:r>
          </w:p>
        </w:tc>
        <w:tc>
          <w:tcPr>
            <w:tcW w:type="dxa" w:w="1440"/>
          </w:tcPr>
          <w:p>
            <w:pPr>
              <w:spacing w:line="276" w:lineRule="auto" w:after="40"/>
              <w:jc w:val="right"/>
            </w:pPr>
            <w:r>
              <w:rPr>
                <w:rFonts w:ascii="Times New Roman" w:hAnsi="Times New Roman"/>
                <w:sz w:val="21"/>
              </w:rPr>
              <w:t>33</w:t>
            </w:r>
          </w:p>
        </w:tc>
      </w:tr>
      <w:tr>
        <w:tc>
          <w:tcPr>
            <w:tcW w:type="dxa" w:w="7920"/>
          </w:tcPr>
          <w:p>
            <w:pPr>
              <w:spacing w:line="276" w:lineRule="auto" w:after="40"/>
            </w:pPr>
            <w:r>
              <w:rPr>
                <w:rFonts w:ascii="Times New Roman" w:hAnsi="Times New Roman"/>
                <w:sz w:val="21"/>
              </w:rPr>
              <w:t xml:space="preserve">  7.1 Deliverables Submitted</w:t>
            </w:r>
          </w:p>
        </w:tc>
        <w:tc>
          <w:tcPr>
            <w:tcW w:type="dxa" w:w="1440"/>
          </w:tcPr>
          <w:p>
            <w:pPr>
              <w:spacing w:line="276" w:lineRule="auto" w:after="40"/>
              <w:jc w:val="right"/>
            </w:pPr>
            <w:r>
              <w:rPr>
                <w:rFonts w:ascii="Times New Roman" w:hAnsi="Times New Roman"/>
                <w:sz w:val="21"/>
              </w:rPr>
              <w:t>33</w:t>
            </w:r>
          </w:p>
        </w:tc>
      </w:tr>
      <w:tr>
        <w:tc>
          <w:tcPr>
            <w:tcW w:type="dxa" w:w="7920"/>
          </w:tcPr>
          <w:p>
            <w:pPr>
              <w:spacing w:line="276" w:lineRule="auto" w:after="40"/>
            </w:pPr>
            <w:r>
              <w:rPr>
                <w:rFonts w:ascii="Times New Roman" w:hAnsi="Times New Roman"/>
                <w:sz w:val="21"/>
              </w:rPr>
              <w:t xml:space="preserve">  7.2 Results Achieved: The 200-Student Empirical Dataset</w:t>
            </w:r>
          </w:p>
        </w:tc>
        <w:tc>
          <w:tcPr>
            <w:tcW w:type="dxa" w:w="1440"/>
          </w:tcPr>
          <w:p>
            <w:pPr>
              <w:spacing w:line="276" w:lineRule="auto" w:after="40"/>
              <w:jc w:val="right"/>
            </w:pPr>
            <w:r>
              <w:rPr>
                <w:rFonts w:ascii="Times New Roman" w:hAnsi="Times New Roman"/>
                <w:sz w:val="21"/>
              </w:rPr>
              <w:t>34</w:t>
            </w:r>
          </w:p>
        </w:tc>
      </w:tr>
      <w:tr>
        <w:tc>
          <w:tcPr>
            <w:tcW w:type="dxa" w:w="7920"/>
          </w:tcPr>
          <w:p>
            <w:pPr>
              <w:spacing w:line="276" w:lineRule="auto" w:after="40"/>
            </w:pPr>
            <w:r>
              <w:rPr>
                <w:rFonts w:ascii="Times New Roman" w:hAnsi="Times New Roman"/>
                <w:sz w:val="21"/>
              </w:rPr>
              <w:t xml:space="preserve">  7.3 Impact on Institutional Metric Tracking &amp; Career Outcomes</w:t>
            </w:r>
          </w:p>
        </w:tc>
        <w:tc>
          <w:tcPr>
            <w:tcW w:type="dxa" w:w="1440"/>
          </w:tcPr>
          <w:p>
            <w:pPr>
              <w:spacing w:line="276" w:lineRule="auto" w:after="40"/>
              <w:jc w:val="right"/>
            </w:pPr>
            <w:r>
              <w:rPr>
                <w:rFonts w:ascii="Times New Roman" w:hAnsi="Times New Roman"/>
                <w:sz w:val="21"/>
              </w:rPr>
              <w:t>35</w:t>
            </w:r>
          </w:p>
        </w:tc>
      </w:tr>
      <w:tr>
        <w:tc>
          <w:tcPr>
            <w:tcW w:type="dxa" w:w="7920"/>
          </w:tcPr>
          <w:p>
            <w:pPr>
              <w:spacing w:line="276" w:lineRule="auto" w:after="40"/>
            </w:pPr>
            <w:r>
              <w:rPr>
                <w:rFonts w:ascii="Times New Roman" w:hAnsi="Times New Roman"/>
                <w:sz w:val="21"/>
              </w:rPr>
              <w:t xml:space="preserve">  7.4 SDG Contribution</w:t>
            </w:r>
          </w:p>
        </w:tc>
        <w:tc>
          <w:tcPr>
            <w:tcW w:type="dxa" w:w="1440"/>
          </w:tcPr>
          <w:p>
            <w:pPr>
              <w:spacing w:line="276" w:lineRule="auto" w:after="40"/>
              <w:jc w:val="right"/>
            </w:pPr>
            <w:r>
              <w:rPr>
                <w:rFonts w:ascii="Times New Roman" w:hAnsi="Times New Roman"/>
                <w:sz w:val="21"/>
              </w:rPr>
              <w:t>36</w:t>
            </w:r>
          </w:p>
        </w:tc>
      </w:tr>
      <w:tr>
        <w:tc>
          <w:tcPr>
            <w:tcW w:type="dxa" w:w="7920"/>
          </w:tcPr>
          <w:p>
            <w:pPr>
              <w:spacing w:line="276" w:lineRule="auto" w:after="40"/>
            </w:pPr>
            <w:r>
              <w:rPr>
                <w:rFonts w:ascii="Times New Roman" w:hAnsi="Times New Roman"/>
                <w:b/>
                <w:sz w:val="21"/>
              </w:rPr>
              <w:t>CHAPTER 8: CONCLUSION AND FUTURE SCOPE</w:t>
            </w:r>
          </w:p>
        </w:tc>
        <w:tc>
          <w:tcPr>
            <w:tcW w:type="dxa" w:w="1440"/>
          </w:tcPr>
          <w:p>
            <w:pPr>
              <w:spacing w:line="276" w:lineRule="auto" w:after="40"/>
              <w:jc w:val="right"/>
            </w:pPr>
            <w:r>
              <w:rPr>
                <w:rFonts w:ascii="Times New Roman" w:hAnsi="Times New Roman"/>
                <w:sz w:val="21"/>
              </w:rPr>
              <w:t>37</w:t>
            </w:r>
          </w:p>
        </w:tc>
      </w:tr>
      <w:tr>
        <w:tc>
          <w:tcPr>
            <w:tcW w:type="dxa" w:w="7920"/>
          </w:tcPr>
          <w:p>
            <w:pPr>
              <w:spacing w:line="276" w:lineRule="auto" w:after="40"/>
            </w:pPr>
            <w:r>
              <w:rPr>
                <w:rFonts w:ascii="Times New Roman" w:hAnsi="Times New Roman"/>
                <w:sz w:val="21"/>
              </w:rPr>
              <w:t xml:space="preserve">  8.1 Conclusion</w:t>
            </w:r>
          </w:p>
        </w:tc>
        <w:tc>
          <w:tcPr>
            <w:tcW w:type="dxa" w:w="1440"/>
          </w:tcPr>
          <w:p>
            <w:pPr>
              <w:spacing w:line="276" w:lineRule="auto" w:after="40"/>
              <w:jc w:val="right"/>
            </w:pPr>
            <w:r>
              <w:rPr>
                <w:rFonts w:ascii="Times New Roman" w:hAnsi="Times New Roman"/>
                <w:sz w:val="21"/>
              </w:rPr>
              <w:t>37</w:t>
            </w:r>
          </w:p>
        </w:tc>
      </w:tr>
      <w:tr>
        <w:tc>
          <w:tcPr>
            <w:tcW w:type="dxa" w:w="7920"/>
          </w:tcPr>
          <w:p>
            <w:pPr>
              <w:spacing w:line="276" w:lineRule="auto" w:after="40"/>
            </w:pPr>
            <w:r>
              <w:rPr>
                <w:rFonts w:ascii="Times New Roman" w:hAnsi="Times New Roman"/>
                <w:sz w:val="21"/>
              </w:rPr>
              <w:t xml:space="preserve">  8.2 Key Findings: Core Statistical Insights</w:t>
            </w:r>
          </w:p>
        </w:tc>
        <w:tc>
          <w:tcPr>
            <w:tcW w:type="dxa" w:w="1440"/>
          </w:tcPr>
          <w:p>
            <w:pPr>
              <w:spacing w:line="276" w:lineRule="auto" w:after="40"/>
              <w:jc w:val="right"/>
            </w:pPr>
            <w:r>
              <w:rPr>
                <w:rFonts w:ascii="Times New Roman" w:hAnsi="Times New Roman"/>
                <w:sz w:val="21"/>
              </w:rPr>
              <w:t>38</w:t>
            </w:r>
          </w:p>
        </w:tc>
      </w:tr>
      <w:tr>
        <w:tc>
          <w:tcPr>
            <w:tcW w:type="dxa" w:w="7920"/>
          </w:tcPr>
          <w:p>
            <w:pPr>
              <w:spacing w:line="276" w:lineRule="auto" w:after="40"/>
            </w:pPr>
            <w:r>
              <w:rPr>
                <w:rFonts w:ascii="Times New Roman" w:hAnsi="Times New Roman"/>
                <w:sz w:val="21"/>
              </w:rPr>
              <w:t xml:space="preserve">  8.3 Data-Backed Recommendations for Colleges</w:t>
            </w:r>
          </w:p>
        </w:tc>
        <w:tc>
          <w:tcPr>
            <w:tcW w:type="dxa" w:w="1440"/>
          </w:tcPr>
          <w:p>
            <w:pPr>
              <w:spacing w:line="276" w:lineRule="auto" w:after="40"/>
              <w:jc w:val="right"/>
            </w:pPr>
            <w:r>
              <w:rPr>
                <w:rFonts w:ascii="Times New Roman" w:hAnsi="Times New Roman"/>
                <w:sz w:val="21"/>
              </w:rPr>
              <w:t>39</w:t>
            </w:r>
          </w:p>
        </w:tc>
      </w:tr>
      <w:tr>
        <w:tc>
          <w:tcPr>
            <w:tcW w:type="dxa" w:w="7920"/>
          </w:tcPr>
          <w:p>
            <w:pPr>
              <w:spacing w:line="276" w:lineRule="auto" w:after="40"/>
            </w:pPr>
            <w:r>
              <w:rPr>
                <w:rFonts w:ascii="Times New Roman" w:hAnsi="Times New Roman"/>
                <w:sz w:val="21"/>
              </w:rPr>
              <w:t xml:space="preserve">  8.4 Future Enhancements: Predictive Analytics &amp; Longitudinal Tracking</w:t>
            </w:r>
          </w:p>
        </w:tc>
        <w:tc>
          <w:tcPr>
            <w:tcW w:type="dxa" w:w="1440"/>
          </w:tcPr>
          <w:p>
            <w:pPr>
              <w:spacing w:line="276" w:lineRule="auto" w:after="40"/>
              <w:jc w:val="right"/>
            </w:pPr>
            <w:r>
              <w:rPr>
                <w:rFonts w:ascii="Times New Roman" w:hAnsi="Times New Roman"/>
                <w:sz w:val="21"/>
              </w:rPr>
              <w:t>40</w:t>
            </w:r>
          </w:p>
        </w:tc>
      </w:tr>
      <w:tr>
        <w:tc>
          <w:tcPr>
            <w:tcW w:type="dxa" w:w="7920"/>
          </w:tcPr>
          <w:p>
            <w:pPr>
              <w:spacing w:line="276" w:lineRule="auto" w:after="40"/>
            </w:pPr>
            <w:r>
              <w:rPr>
                <w:rFonts w:ascii="Times New Roman" w:hAnsi="Times New Roman"/>
                <w:b/>
                <w:sz w:val="21"/>
              </w:rPr>
              <w:t>REFERENCES (MLA Format)</w:t>
            </w:r>
          </w:p>
        </w:tc>
        <w:tc>
          <w:tcPr>
            <w:tcW w:type="dxa" w:w="1440"/>
          </w:tcPr>
          <w:p>
            <w:pPr>
              <w:spacing w:line="276" w:lineRule="auto" w:after="40"/>
              <w:jc w:val="right"/>
            </w:pPr>
            <w:r>
              <w:rPr>
                <w:rFonts w:ascii="Times New Roman" w:hAnsi="Times New Roman"/>
                <w:sz w:val="21"/>
              </w:rPr>
              <w:t>41</w:t>
            </w:r>
          </w:p>
        </w:tc>
      </w:tr>
      <w:tr>
        <w:tc>
          <w:tcPr>
            <w:tcW w:type="dxa" w:w="7920"/>
          </w:tcPr>
          <w:p>
            <w:pPr>
              <w:spacing w:line="276" w:lineRule="auto" w:after="40"/>
            </w:pPr>
            <w:r>
              <w:rPr>
                <w:rFonts w:ascii="Times New Roman" w:hAnsi="Times New Roman"/>
                <w:b/>
                <w:sz w:val="21"/>
              </w:rPr>
              <w:t>ANNEXURES (Mandatory A through F)</w:t>
            </w:r>
          </w:p>
        </w:tc>
        <w:tc>
          <w:tcPr>
            <w:tcW w:type="dxa" w:w="1440"/>
          </w:tcPr>
          <w:p>
            <w:pPr>
              <w:spacing w:line="276" w:lineRule="auto" w:after="40"/>
              <w:jc w:val="right"/>
            </w:pPr>
            <w:r>
              <w:rPr>
                <w:rFonts w:ascii="Times New Roman" w:hAnsi="Times New Roman"/>
                <w:sz w:val="21"/>
              </w:rPr>
              <w:t>43</w:t>
            </w:r>
          </w:p>
        </w:tc>
      </w:tr>
    </w:tbl>
    <w:p>
      <w:r>
        <w:br w:type="page"/>
      </w:r>
    </w:p>
    <w:p>
      <w:pPr>
        <w:keepNext/>
        <w:spacing w:before="360" w:after="160"/>
      </w:pPr>
      <w:r>
        <w:rPr>
          <w:rFonts w:ascii="Times New Roman" w:hAnsi="Times New Roman"/>
          <w:b/>
          <w:color w:val="0F172A"/>
          <w:sz w:val="32"/>
        </w:rPr>
        <w:t>CHAPTER 1: INTRODUCTION</w:t>
      </w:r>
    </w:p>
    <w:p>
      <w:pPr>
        <w:keepNext/>
        <w:spacing w:before="240" w:after="120"/>
      </w:pPr>
      <w:r>
        <w:rPr>
          <w:rFonts w:ascii="Times New Roman" w:hAnsi="Times New Roman"/>
          <w:b/>
          <w:color w:val="1E3A8A"/>
          <w:sz w:val="26"/>
        </w:rPr>
        <w:t>1.1 Project Background: A Data Science Lens on Campus Recruitment</w:t>
      </w:r>
    </w:p>
    <w:p>
      <w:pPr>
        <w:spacing w:after="120" w:line="360" w:lineRule="auto"/>
        <w:jc w:val="both"/>
      </w:pPr>
      <w:r>
        <w:rPr>
          <w:rFonts w:ascii="Times New Roman" w:hAnsi="Times New Roman"/>
          <w:sz w:val="22"/>
        </w:rPr>
        <w:t>In modern data-driven enterprises, operational processes are rigorously tracked through key performance indicators (KPIs), latency metrics, and conversion funnels. However, in higher education administration, the vital pipeline governing campus placements frequently operates in an analytical vacuum. While collegiate marketing materials celebrate gross placement percentages and peak salary figures, the underlying distribution of student experiences—specifically the percentage of unmet needs, communication latency distributions, and skill gap correlations—remains unmeasured and unaddressed.</w:t>
      </w:r>
    </w:p>
    <w:p>
      <w:pPr>
        <w:spacing w:after="120" w:line="360" w:lineRule="auto"/>
        <w:jc w:val="both"/>
      </w:pPr>
      <w:r>
        <w:rPr>
          <w:rFonts w:ascii="Times New Roman" w:hAnsi="Times New Roman"/>
          <w:sz w:val="22"/>
        </w:rPr>
        <w:t>As an undergraduate student in Data Science at Vidyalankar School of Information Technology, I observed that placement complaints were routinely dismissed as anecdotal edge cases. When a student missed a test because a message was forwarded late, or when candidates failed an interview because their training did not cover required technologies, the failure was attributed to individual negligence. Yet, when analyzed through the lens of systems engineering and data analytics, these occurrences are not random; they are predictable systemic errors generated by flawed communication pipelines and uncalibrated preparation programs.</w:t>
      </w:r>
    </w:p>
    <w:p>
      <w:pPr>
        <w:spacing w:after="120" w:line="360" w:lineRule="auto"/>
        <w:jc w:val="both"/>
      </w:pPr>
      <w:r>
        <w:rPr>
          <w:rFonts w:ascii="Times New Roman" w:hAnsi="Times New Roman"/>
          <w:sz w:val="22"/>
        </w:rPr>
        <w:t>To ground our Community Engagement Project in verifiable reality, our four-member team partnered with Guru Nanak Khalsa College of Arts, Science &amp; Commerce, Matunga, Mumbai. Over three structured field visits, my responsibility was to design our statistical sampling methodology, supervise our Google Form questionnaire rollout across Computer Science, Information Technology, and Data Science cohorts, and transform 200 primary student responses into an actionable empirical evidence base.</w:t>
      </w:r>
    </w:p>
    <w:p>
      <w:pPr>
        <w:keepNext/>
        <w:spacing w:before="240" w:after="120"/>
      </w:pPr>
      <w:r>
        <w:rPr>
          <w:rFonts w:ascii="Times New Roman" w:hAnsi="Times New Roman"/>
          <w:b/>
          <w:color w:val="1E3A8A"/>
          <w:sz w:val="26"/>
        </w:rPr>
        <w:t>1.2 Problem Statement</w:t>
      </w:r>
    </w:p>
    <w:p>
      <w:pPr>
        <w:spacing w:after="120" w:line="360" w:lineRule="auto"/>
        <w:jc w:val="both"/>
      </w:pPr>
      <w:r>
        <w:rPr>
          <w:rFonts w:ascii="Times New Roman" w:hAnsi="Times New Roman"/>
          <w:sz w:val="22"/>
        </w:rPr>
        <w:t>Undergraduate technical students suffer from high placement dissatisfaction and missed career opportunities due to measurable information distribution delays, an uncalibrated pre-placement curriculum that ignores industry skill demands, and an absence of quantifiable feedback mechanisms that measure student skill deficits.</w:t>
      </w:r>
    </w:p>
    <w:p>
      <w:pPr>
        <w:spacing w:after="120" w:line="360" w:lineRule="auto"/>
        <w:jc w:val="both"/>
      </w:pPr>
      <w:r>
        <w:rPr>
          <w:rFonts w:ascii="Times New Roman" w:hAnsi="Times New Roman"/>
          <w:sz w:val="22"/>
        </w:rPr>
        <w:t>The quantifiable core challenges encompass:</w:t>
      </w:r>
    </w:p>
    <w:p>
      <w:pPr>
        <w:pStyle w:val="ListBullet"/>
        <w:spacing w:after="80" w:line="312" w:lineRule="auto"/>
        <w:jc w:val="both"/>
      </w:pPr>
      <w:r>
        <w:rPr>
          <w:rFonts w:ascii="Times New Roman" w:hAnsi="Times New Roman"/>
          <w:b/>
          <w:sz w:val="22"/>
        </w:rPr>
        <w:t xml:space="preserve">High Unmet Career Need Ratio: </w:t>
      </w:r>
      <w:r>
        <w:rPr>
          <w:rFonts w:ascii="Times New Roman" w:hAnsi="Times New Roman"/>
          <w:sz w:val="22"/>
        </w:rPr>
        <w:t>Initial field estimates indicated that over 70% of enrolled students perceive existing placement support as inadequate or only partially supportive.</w:t>
      </w:r>
    </w:p>
    <w:p>
      <w:pPr>
        <w:pStyle w:val="ListBullet"/>
        <w:spacing w:after="80" w:line="312" w:lineRule="auto"/>
        <w:jc w:val="both"/>
      </w:pPr>
      <w:r>
        <w:rPr>
          <w:rFonts w:ascii="Times New Roman" w:hAnsi="Times New Roman"/>
          <w:b/>
          <w:sz w:val="22"/>
        </w:rPr>
        <w:t xml:space="preserve">Critical Communication Latency: </w:t>
      </w:r>
      <w:r>
        <w:rPr>
          <w:rFonts w:ascii="Times New Roman" w:hAnsi="Times New Roman"/>
          <w:sz w:val="22"/>
        </w:rPr>
        <w:t>Notice distribution lag between corporate recruiter emails and student reception averages 36 hours, severely compressing test preparation windows to under 12 hours.</w:t>
      </w:r>
    </w:p>
    <w:p>
      <w:pPr>
        <w:pStyle w:val="ListBullet"/>
        <w:spacing w:after="80" w:line="312" w:lineRule="auto"/>
        <w:jc w:val="both"/>
      </w:pPr>
      <w:r>
        <w:rPr>
          <w:rFonts w:ascii="Times New Roman" w:hAnsi="Times New Roman"/>
          <w:b/>
          <w:sz w:val="22"/>
        </w:rPr>
        <w:t xml:space="preserve">Aptitude vs. Technical Assessment Mismatch: </w:t>
      </w:r>
      <w:r>
        <w:rPr>
          <w:rFonts w:ascii="Times New Roman" w:hAnsi="Times New Roman"/>
          <w:sz w:val="22"/>
        </w:rPr>
        <w:t>Over two-thirds of students report that college-sponsored aptitude training fails to prepare them for practical programming rounds on platforms like HackerRank and LeetCode.</w:t>
      </w:r>
    </w:p>
    <w:p>
      <w:pPr>
        <w:pStyle w:val="ListBullet"/>
        <w:spacing w:after="80" w:line="312" w:lineRule="auto"/>
        <w:jc w:val="both"/>
      </w:pPr>
      <w:r>
        <w:rPr>
          <w:rFonts w:ascii="Times New Roman" w:hAnsi="Times New Roman"/>
          <w:b/>
          <w:sz w:val="22"/>
        </w:rPr>
        <w:t xml:space="preserve">Information Asymmetry in Screening: </w:t>
      </w:r>
      <w:r>
        <w:rPr>
          <w:rFonts w:ascii="Times New Roman" w:hAnsi="Times New Roman"/>
          <w:sz w:val="22"/>
        </w:rPr>
        <w:t>Students receive binary (Selected/Rejected) outcomes with zero itemized skill data, preventing data-backed self-remediation.</w:t>
      </w:r>
    </w:p>
    <w:p>
      <w:pPr>
        <w:keepNext/>
        <w:spacing w:before="240" w:after="120"/>
      </w:pPr>
      <w:r>
        <w:rPr>
          <w:rFonts w:ascii="Times New Roman" w:hAnsi="Times New Roman"/>
          <w:b/>
          <w:color w:val="1E3A8A"/>
          <w:sz w:val="26"/>
        </w:rPr>
        <w:t>1.3 Need for the Project: Evidence-Based Placement Administration</w:t>
      </w:r>
    </w:p>
    <w:p>
      <w:pPr>
        <w:spacing w:after="120" w:line="360" w:lineRule="auto"/>
        <w:jc w:val="both"/>
      </w:pPr>
      <w:r>
        <w:rPr>
          <w:rFonts w:ascii="Times New Roman" w:hAnsi="Times New Roman"/>
          <w:sz w:val="22"/>
        </w:rPr>
        <w:t>Educational institutions cannot fix problems they do not measure. Without empirical survey data, placement departments continue to allocate budgets to generic aptitude vendors while students struggle with algorithmic coding. By quantifying the placement gap across departmental cohorts and providing a transparent portal that tracks live match metrics and workshop capacities, institutions can transition from reactive guesswork to proactive, evidence-based student development.</w:t>
      </w:r>
    </w:p>
    <w:p>
      <w:pPr>
        <w:keepNext/>
        <w:spacing w:before="240" w:after="120"/>
      </w:pPr>
      <w:r>
        <w:rPr>
          <w:rFonts w:ascii="Times New Roman" w:hAnsi="Times New Roman"/>
          <w:b/>
          <w:color w:val="1E3A8A"/>
          <w:sz w:val="26"/>
        </w:rPr>
        <w:t>1.4 Objectives</w:t>
      </w:r>
    </w:p>
    <w:p>
      <w:pPr>
        <w:keepNext/>
        <w:spacing w:before="200" w:after="80"/>
      </w:pPr>
      <w:r>
        <w:rPr>
          <w:rFonts w:ascii="Times New Roman" w:hAnsi="Times New Roman"/>
          <w:b/>
          <w:color w:val="334155"/>
          <w:sz w:val="22"/>
        </w:rPr>
        <w:t>Primary Objectives</w:t>
      </w:r>
    </w:p>
    <w:p>
      <w:pPr>
        <w:pStyle w:val="ListBullet"/>
        <w:spacing w:after="80" w:line="312" w:lineRule="auto"/>
        <w:jc w:val="both"/>
      </w:pPr>
      <w:r>
        <w:rPr>
          <w:rFonts w:ascii="Times New Roman" w:hAnsi="Times New Roman"/>
          <w:b/>
          <w:sz w:val="22"/>
        </w:rPr>
        <w:t xml:space="preserve">Primary Empirical Surveying: </w:t>
      </w:r>
      <w:r>
        <w:rPr>
          <w:rFonts w:ascii="Times New Roman" w:hAnsi="Times New Roman"/>
          <w:sz w:val="22"/>
        </w:rPr>
        <w:t>Design and manually distribute a 12-question Google Form survey, gathering 200 verified student responses from Khalsa College (stratified across 80 CS, 60 IT, 60 DS candidates).</w:t>
      </w:r>
    </w:p>
    <w:p>
      <w:pPr>
        <w:pStyle w:val="ListBullet"/>
        <w:spacing w:after="80" w:line="312" w:lineRule="auto"/>
        <w:jc w:val="both"/>
      </w:pPr>
      <w:r>
        <w:rPr>
          <w:rFonts w:ascii="Times New Roman" w:hAnsi="Times New Roman"/>
          <w:b/>
          <w:sz w:val="22"/>
        </w:rPr>
        <w:t xml:space="preserve">Quantitative Field Audit: </w:t>
      </w:r>
      <w:r>
        <w:rPr>
          <w:rFonts w:ascii="Times New Roman" w:hAnsi="Times New Roman"/>
          <w:sz w:val="22"/>
        </w:rPr>
        <w:t>Audit notice distribution timestamps and circular latency across three scheduled community visits to Khalsa College, Matunga.</w:t>
      </w:r>
    </w:p>
    <w:p>
      <w:pPr>
        <w:pStyle w:val="ListBullet"/>
        <w:spacing w:after="80" w:line="312" w:lineRule="auto"/>
        <w:jc w:val="both"/>
      </w:pPr>
      <w:r>
        <w:rPr>
          <w:rFonts w:ascii="Times New Roman" w:hAnsi="Times New Roman"/>
          <w:b/>
          <w:sz w:val="22"/>
        </w:rPr>
        <w:t xml:space="preserve">Develop 'Skill Bridge' Data Architecture: </w:t>
      </w:r>
      <w:r>
        <w:rPr>
          <w:rFonts w:ascii="Times New Roman" w:hAnsi="Times New Roman"/>
          <w:sz w:val="22"/>
        </w:rPr>
        <w:t>Engineer an explainable, deterministic matching algorithm and workshop quota tracker.</w:t>
      </w:r>
    </w:p>
    <w:p>
      <w:pPr>
        <w:pStyle w:val="ListBullet"/>
        <w:spacing w:after="80" w:line="312" w:lineRule="auto"/>
        <w:jc w:val="both"/>
      </w:pPr>
      <w:r>
        <w:rPr>
          <w:rFonts w:ascii="Times New Roman" w:hAnsi="Times New Roman"/>
          <w:b/>
          <w:sz w:val="22"/>
        </w:rPr>
        <w:t xml:space="preserve">Usability Task Benchmarking: </w:t>
      </w:r>
      <w:r>
        <w:rPr>
          <w:rFonts w:ascii="Times New Roman" w:hAnsi="Times New Roman"/>
          <w:sz w:val="22"/>
        </w:rPr>
        <w:t>Measure task completion times, unassisted success rates, and user drop-off across two successive prototype iterations.</w:t>
      </w:r>
    </w:p>
    <w:p>
      <w:pPr>
        <w:keepNext/>
        <w:spacing w:before="200" w:after="80"/>
      </w:pPr>
      <w:r>
        <w:rPr>
          <w:rFonts w:ascii="Times New Roman" w:hAnsi="Times New Roman"/>
          <w:b/>
          <w:color w:val="334155"/>
          <w:sz w:val="22"/>
        </w:rPr>
        <w:t>Secondary Objectives</w:t>
      </w:r>
    </w:p>
    <w:p>
      <w:pPr>
        <w:pStyle w:val="ListBullet"/>
        <w:spacing w:after="80" w:line="312" w:lineRule="auto"/>
        <w:jc w:val="both"/>
      </w:pPr>
      <w:r>
        <w:rPr>
          <w:rFonts w:ascii="Times New Roman" w:hAnsi="Times New Roman"/>
          <w:b/>
          <w:sz w:val="22"/>
        </w:rPr>
        <w:t xml:space="preserve">Cross-Tabulation &amp; Cohort Analytics: </w:t>
      </w:r>
      <w:r>
        <w:rPr>
          <w:rFonts w:ascii="Times New Roman" w:hAnsi="Times New Roman"/>
          <w:sz w:val="22"/>
        </w:rPr>
        <w:t>Analyze differences in placement hurdles across Computer Science, Information Technology, and Data Science streams.</w:t>
      </w:r>
    </w:p>
    <w:p>
      <w:pPr>
        <w:pStyle w:val="ListBullet"/>
        <w:spacing w:after="80" w:line="312" w:lineRule="auto"/>
        <w:jc w:val="both"/>
      </w:pPr>
      <w:r>
        <w:rPr>
          <w:rFonts w:ascii="Times New Roman" w:hAnsi="Times New Roman"/>
          <w:b/>
          <w:sz w:val="22"/>
        </w:rPr>
        <w:t xml:space="preserve">Anonymous Grievance Tokenization: </w:t>
      </w:r>
      <w:r>
        <w:rPr>
          <w:rFonts w:ascii="Times New Roman" w:hAnsi="Times New Roman"/>
          <w:sz w:val="22"/>
        </w:rPr>
        <w:t>Design a cryptographic token pipeline that strips PII while tracking resolution time metrics.</w:t>
      </w:r>
    </w:p>
    <w:p>
      <w:pPr>
        <w:pStyle w:val="ListBullet"/>
        <w:spacing w:after="80" w:line="312" w:lineRule="auto"/>
        <w:jc w:val="both"/>
      </w:pPr>
      <w:r>
        <w:rPr>
          <w:rFonts w:ascii="Times New Roman" w:hAnsi="Times New Roman"/>
          <w:b/>
          <w:sz w:val="22"/>
        </w:rPr>
        <w:t xml:space="preserve">6-Dimension Action Roadmap: </w:t>
      </w:r>
      <w:r>
        <w:rPr>
          <w:rFonts w:ascii="Times New Roman" w:hAnsi="Times New Roman"/>
          <w:sz w:val="22"/>
        </w:rPr>
        <w:t>Synthesize empirical survey metrics into an actionable institutional improvement plan.</w:t>
      </w:r>
    </w:p>
    <w:p>
      <w:pPr>
        <w:keepNext/>
        <w:spacing w:before="240" w:after="120"/>
      </w:pPr>
      <w:r>
        <w:rPr>
          <w:rFonts w:ascii="Times New Roman" w:hAnsi="Times New Roman"/>
          <w:b/>
          <w:color w:val="1E3A8A"/>
          <w:sz w:val="26"/>
        </w:rPr>
        <w:t>1.5 Scope &amp; Sampling Frame</w:t>
      </w:r>
    </w:p>
    <w:p>
      <w:pPr>
        <w:spacing w:after="120" w:line="360" w:lineRule="auto"/>
        <w:jc w:val="both"/>
      </w:pPr>
      <w:r>
        <w:rPr>
          <w:rFonts w:ascii="Times New Roman" w:hAnsi="Times New Roman"/>
          <w:sz w:val="22"/>
        </w:rPr>
        <w:t>The sampling frame comprises undergraduate students enrolled in their pre-final and final years of B.Sc. Computer Science, B.Sc. Information Technology, and emerging B.Sc. Data Science cohorts at Guru Nanak Khalsa College, Matunga. The dataset captures student perceptions during the peak pre-placement recruitment window of September 2026.</w:t>
      </w:r>
    </w:p>
    <w:p>
      <w:pPr>
        <w:keepNext/>
        <w:spacing w:before="240" w:after="120"/>
      </w:pPr>
      <w:r>
        <w:rPr>
          <w:rFonts w:ascii="Times New Roman" w:hAnsi="Times New Roman"/>
          <w:b/>
          <w:color w:val="1E3A8A"/>
          <w:sz w:val="26"/>
        </w:rPr>
        <w:t>1.6 SDG Alignment</w:t>
      </w:r>
    </w:p>
    <w:p>
      <w:pPr>
        <w:pStyle w:val="ListBullet"/>
        <w:spacing w:after="80" w:line="312" w:lineRule="auto"/>
        <w:jc w:val="both"/>
      </w:pPr>
      <w:r>
        <w:rPr>
          <w:rFonts w:ascii="Times New Roman" w:hAnsi="Times New Roman"/>
          <w:b/>
          <w:sz w:val="22"/>
        </w:rPr>
        <w:t xml:space="preserve">SDG 4: Quality Education (Target 4.4): </w:t>
      </w:r>
      <w:r>
        <w:rPr>
          <w:rFonts w:ascii="Times New Roman" w:hAnsi="Times New Roman"/>
          <w:sz w:val="22"/>
        </w:rPr>
        <w:t>Quantifies training deficiencies and introduces practical coding workshops to measurably increase technical youth employability.</w:t>
      </w:r>
    </w:p>
    <w:p>
      <w:pPr>
        <w:pStyle w:val="ListBullet"/>
        <w:spacing w:after="80" w:line="312" w:lineRule="auto"/>
        <w:jc w:val="both"/>
      </w:pPr>
      <w:r>
        <w:rPr>
          <w:rFonts w:ascii="Times New Roman" w:hAnsi="Times New Roman"/>
          <w:b/>
          <w:sz w:val="22"/>
        </w:rPr>
        <w:t xml:space="preserve">SDG 8: Decent Work and Economic Growth (Target 8.6): </w:t>
      </w:r>
      <w:r>
        <w:rPr>
          <w:rFonts w:ascii="Times New Roman" w:hAnsi="Times New Roman"/>
          <w:sz w:val="22"/>
        </w:rPr>
        <w:t>Reduces youth underemployment by eliminating communication delays and matching candidates to suitable corporate roles.</w:t>
      </w:r>
    </w:p>
    <w:p>
      <w:pPr>
        <w:pStyle w:val="ListBullet"/>
        <w:spacing w:after="80" w:line="312" w:lineRule="auto"/>
        <w:jc w:val="both"/>
      </w:pPr>
      <w:r>
        <w:rPr>
          <w:rFonts w:ascii="Times New Roman" w:hAnsi="Times New Roman"/>
          <w:b/>
          <w:sz w:val="22"/>
        </w:rPr>
        <w:t xml:space="preserve">SDG 10: Reduced Inequalities (Target 10.2 &amp; 10.3): </w:t>
      </w:r>
      <w:r>
        <w:rPr>
          <w:rFonts w:ascii="Times New Roman" w:hAnsi="Times New Roman"/>
          <w:sz w:val="22"/>
        </w:rPr>
        <w:t>Removes arbitrary academic barriers and promotes equal access through transparent skill matching.</w:t>
      </w:r>
    </w:p>
    <w:p>
      <w:r>
        <w:br w:type="page"/>
      </w:r>
    </w:p>
    <w:p>
      <w:pPr>
        <w:keepNext/>
        <w:spacing w:before="360" w:after="160"/>
      </w:pPr>
      <w:r>
        <w:rPr>
          <w:rFonts w:ascii="Times New Roman" w:hAnsi="Times New Roman"/>
          <w:b/>
          <w:color w:val="0F172A"/>
          <w:sz w:val="32"/>
        </w:rPr>
        <w:t>CHAPTER 2: REQUIREMENT ANALYSIS AND LITERATURE REVIEW</w:t>
      </w:r>
    </w:p>
    <w:p>
      <w:pPr>
        <w:keepNext/>
        <w:spacing w:before="240" w:after="120"/>
      </w:pPr>
      <w:r>
        <w:rPr>
          <w:rFonts w:ascii="Times New Roman" w:hAnsi="Times New Roman"/>
          <w:b/>
          <w:color w:val="1E3A8A"/>
          <w:sz w:val="26"/>
        </w:rPr>
        <w:t>2.1 Methodology Adopted: Survey Design &amp; Sampling Stratification</w:t>
      </w:r>
    </w:p>
    <w:p>
      <w:pPr>
        <w:spacing w:after="120" w:line="360" w:lineRule="auto"/>
        <w:jc w:val="both"/>
      </w:pPr>
      <w:r>
        <w:rPr>
          <w:rFonts w:ascii="Times New Roman" w:hAnsi="Times New Roman"/>
          <w:sz w:val="22"/>
        </w:rPr>
        <w:t>To achieve high statistical validity, our research methodology utilized a stratified sampling approach across three visits to Guru Nanak Khalsa College of Arts, Science &amp; Commerce, Matunga:</w:t>
      </w:r>
    </w:p>
    <w:p>
      <w:pPr>
        <w:pStyle w:val="ListBullet"/>
        <w:spacing w:after="80" w:line="312" w:lineRule="auto"/>
        <w:jc w:val="both"/>
      </w:pPr>
      <w:r>
        <w:rPr>
          <w:rFonts w:ascii="Times New Roman" w:hAnsi="Times New Roman"/>
          <w:b/>
          <w:sz w:val="22"/>
        </w:rPr>
        <w:t xml:space="preserve">Visit 1 (12 September 2026): Sampling Setup &amp; Primary Survey Rollout: </w:t>
      </w:r>
      <w:r>
        <w:rPr>
          <w:rFonts w:ascii="Times New Roman" w:hAnsi="Times New Roman"/>
          <w:sz w:val="22"/>
        </w:rPr>
        <w:t>Engaged 48 final-year CS and IT students in the computing labs. We launched our structured 12-question Google Form survey, personally assisting students to ensure zero missing fields and verified departmental attribution.</w:t>
      </w:r>
    </w:p>
    <w:p>
      <w:pPr>
        <w:pStyle w:val="ListBullet"/>
        <w:spacing w:after="80" w:line="312" w:lineRule="auto"/>
        <w:jc w:val="both"/>
      </w:pPr>
      <w:r>
        <w:rPr>
          <w:rFonts w:ascii="Times New Roman" w:hAnsi="Times New Roman"/>
          <w:b/>
          <w:sz w:val="22"/>
        </w:rPr>
        <w:t xml:space="preserve">Visit 2 (19 September 2026): Usability Task Metrics Logging: </w:t>
      </w:r>
      <w:r>
        <w:rPr>
          <w:rFonts w:ascii="Times New Roman" w:hAnsi="Times New Roman"/>
          <w:sz w:val="22"/>
        </w:rPr>
        <w:t>Conducted structured usability walkthroughs with 32 students in CCF Lab 3, logging quantitative completion times and error rates across 4 scenarios.</w:t>
      </w:r>
    </w:p>
    <w:p>
      <w:pPr>
        <w:pStyle w:val="ListBullet"/>
        <w:spacing w:after="80" w:line="312" w:lineRule="auto"/>
        <w:jc w:val="both"/>
      </w:pPr>
      <w:r>
        <w:rPr>
          <w:rFonts w:ascii="Times New Roman" w:hAnsi="Times New Roman"/>
          <w:b/>
          <w:sz w:val="22"/>
        </w:rPr>
        <w:t xml:space="preserve">Visit 3 (26 September 2026): Re-Benchmarking &amp; Statistical Presentation: </w:t>
      </w:r>
      <w:r>
        <w:rPr>
          <w:rFonts w:ascii="Times New Roman" w:hAnsi="Times New Roman"/>
          <w:sz w:val="22"/>
        </w:rPr>
        <w:t>Demonstrated refined portal workflows to 40 students and placement coordinators in Seminar Hall 2, measuring the reduction in cognitive friction and task completion times.</w:t>
      </w:r>
    </w:p>
    <w:p>
      <w:pPr>
        <w:keepNext/>
        <w:spacing w:before="240" w:after="120"/>
      </w:pPr>
      <w:r>
        <w:rPr>
          <w:rFonts w:ascii="Times New Roman" w:hAnsi="Times New Roman"/>
          <w:b/>
          <w:color w:val="1E3A8A"/>
          <w:sz w:val="26"/>
        </w:rPr>
        <w:t>2.2 Stakeholder Interactions: Data-Driven Elicitation</w:t>
      </w:r>
    </w:p>
    <w:p>
      <w:pPr>
        <w:spacing w:after="120" w:line="360" w:lineRule="auto"/>
        <w:jc w:val="both"/>
      </w:pPr>
      <w:r>
        <w:rPr>
          <w:rFonts w:ascii="Times New Roman" w:hAnsi="Times New Roman"/>
          <w:sz w:val="22"/>
        </w:rPr>
        <w:t>Interactions with stakeholders provided crucial data parameters:</w:t>
      </w:r>
    </w:p>
    <w:p>
      <w:pPr>
        <w:pStyle w:val="ListBullet"/>
        <w:spacing w:after="80" w:line="312" w:lineRule="auto"/>
        <w:jc w:val="both"/>
      </w:pPr>
      <w:r>
        <w:rPr>
          <w:rFonts w:ascii="Times New Roman" w:hAnsi="Times New Roman"/>
          <w:b/>
          <w:sz w:val="22"/>
        </w:rPr>
        <w:t xml:space="preserve">Student Survey Respondents (N=200): </w:t>
      </w:r>
      <w:r>
        <w:rPr>
          <w:rFonts w:ascii="Times New Roman" w:hAnsi="Times New Roman"/>
          <w:sz w:val="22"/>
        </w:rPr>
        <w:t>Supplied granular data on career domain preferences, notice timeliness, aptitude usefulness, and primary placement barriers.</w:t>
      </w:r>
    </w:p>
    <w:p>
      <w:pPr>
        <w:pStyle w:val="ListBullet"/>
        <w:spacing w:after="80" w:line="312" w:lineRule="auto"/>
        <w:jc w:val="both"/>
      </w:pPr>
      <w:r>
        <w:rPr>
          <w:rFonts w:ascii="Times New Roman" w:hAnsi="Times New Roman"/>
          <w:b/>
          <w:sz w:val="22"/>
        </w:rPr>
        <w:t xml:space="preserve">Department Placement Coordinators: </w:t>
      </w:r>
      <w:r>
        <w:rPr>
          <w:rFonts w:ascii="Times New Roman" w:hAnsi="Times New Roman"/>
          <w:sz w:val="22"/>
        </w:rPr>
        <w:t>Provided administrative data logs regarding circular broadcast volumes, email turnaround times, and candidate shortlisting criteria.</w:t>
      </w:r>
    </w:p>
    <w:p>
      <w:pPr>
        <w:pStyle w:val="ListBullet"/>
        <w:spacing w:after="80" w:line="312" w:lineRule="auto"/>
        <w:jc w:val="both"/>
      </w:pPr>
      <w:r>
        <w:rPr>
          <w:rFonts w:ascii="Times New Roman" w:hAnsi="Times New Roman"/>
          <w:b/>
          <w:sz w:val="22"/>
        </w:rPr>
        <w:t xml:space="preserve">Student Placement Representatives: </w:t>
      </w:r>
      <w:r>
        <w:rPr>
          <w:rFonts w:ascii="Times New Roman" w:hAnsi="Times New Roman"/>
          <w:sz w:val="22"/>
        </w:rPr>
        <w:t>Explained the manual forwarding chain across WhatsApp groups, revealing how message latency compounds across multiple forwarders.</w:t>
      </w:r>
    </w:p>
    <w:p>
      <w:pPr>
        <w:keepNext/>
        <w:spacing w:before="240" w:after="120"/>
      </w:pPr>
      <w:r>
        <w:rPr>
          <w:rFonts w:ascii="Times New Roman" w:hAnsi="Times New Roman"/>
          <w:b/>
          <w:color w:val="1E3A8A"/>
          <w:sz w:val="26"/>
        </w:rPr>
        <w:t>2.3 Domain Overview: The Analytics of Campus Hiring Pipelines</w:t>
      </w:r>
    </w:p>
    <w:p>
      <w:pPr>
        <w:spacing w:after="120" w:line="360" w:lineRule="auto"/>
        <w:jc w:val="both"/>
      </w:pPr>
      <w:r>
        <w:rPr>
          <w:rFonts w:ascii="Times New Roman" w:hAnsi="Times New Roman"/>
          <w:sz w:val="22"/>
        </w:rPr>
        <w:t>A collegiate recruitment pipeline functions as a multi-stage funnel: Circular Release -&gt; Registration Window -&gt; Online Assessment -&gt; Technical Interview -&gt; Final Offer. A breakdown in the earliest stage (delayed circulars) dramatically reduces the top-of-funnel conversion rate, regardless of student technical caliber.</w:t>
      </w:r>
    </w:p>
    <w:p>
      <w:pPr>
        <w:keepNext/>
        <w:spacing w:before="240" w:after="120"/>
      </w:pPr>
      <w:r>
        <w:rPr>
          <w:rFonts w:ascii="Times New Roman" w:hAnsi="Times New Roman"/>
          <w:b/>
          <w:color w:val="1E3A8A"/>
          <w:sz w:val="26"/>
        </w:rPr>
        <w:t>2.4 Existing Process Analysis: Data Leakage and Information Lag</w:t>
      </w:r>
    </w:p>
    <w:p>
      <w:pPr>
        <w:spacing w:after="120" w:line="360" w:lineRule="auto"/>
        <w:jc w:val="both"/>
      </w:pPr>
      <w:r>
        <w:rPr>
          <w:rFonts w:ascii="Times New Roman" w:hAnsi="Times New Roman"/>
          <w:sz w:val="22"/>
        </w:rPr>
        <w:t>Audit of the legacy workflow revealed severe data leakage: circulars took an average of 36 hours to travel from recruiter inboxes to student screens, Google Sheets suffered from accidental field overwrites, and coordinators lacked real-time dashboards to track applicant headcounts.</w:t>
      </w:r>
    </w:p>
    <w:p>
      <w:pPr>
        <w:keepNext/>
        <w:spacing w:before="240" w:after="120"/>
      </w:pPr>
      <w:r>
        <w:rPr>
          <w:rFonts w:ascii="Times New Roman" w:hAnsi="Times New Roman"/>
          <w:b/>
          <w:color w:val="1E3A8A"/>
          <w:sz w:val="26"/>
        </w:rPr>
        <w:t>2.5 Existing Solutions: Why Commercial Portals Lack Metric Visibility</w:t>
      </w:r>
    </w:p>
    <w:p>
      <w:pPr>
        <w:spacing w:after="120" w:line="360" w:lineRule="auto"/>
        <w:jc w:val="both"/>
      </w:pPr>
      <w:r>
        <w:rPr>
          <w:rFonts w:ascii="Times New Roman" w:hAnsi="Times New Roman"/>
          <w:sz w:val="22"/>
        </w:rPr>
        <w:t>Commercial job portals (LinkedIn, Indeed) do not expose institutional recruitment funnels or skill gap distributions to college placement officers. They operate as black-box platforms designed for individual lateral hiring.</w:t>
      </w:r>
    </w:p>
    <w:p>
      <w:pPr>
        <w:keepNext/>
        <w:spacing w:before="240" w:after="120"/>
      </w:pPr>
      <w:r>
        <w:rPr>
          <w:rFonts w:ascii="Times New Roman" w:hAnsi="Times New Roman"/>
          <w:b/>
          <w:color w:val="1E3A8A"/>
          <w:sz w:val="26"/>
        </w:rPr>
        <w:t>2.6 Technologies Studied: Analytical Models &amp; Relational Schemas</w:t>
      </w:r>
    </w:p>
    <w:p>
      <w:pPr>
        <w:spacing w:after="120" w:line="360" w:lineRule="auto"/>
        <w:jc w:val="both"/>
      </w:pPr>
      <w:r>
        <w:rPr>
          <w:rFonts w:ascii="Times New Roman" w:hAnsi="Times New Roman"/>
          <w:sz w:val="22"/>
        </w:rPr>
        <w:t>We studied deterministic set-matching models and relational database schemas to ensure that applicant-opportunity relationships maintain strict uniqueness constraints while delivering instant match calculations.</w:t>
      </w:r>
    </w:p>
    <w:p>
      <w:pPr>
        <w:keepNext/>
        <w:spacing w:before="240" w:after="120"/>
      </w:pPr>
      <w:r>
        <w:rPr>
          <w:rFonts w:ascii="Times New Roman" w:hAnsi="Times New Roman"/>
          <w:b/>
          <w:color w:val="1E3A8A"/>
          <w:sz w:val="26"/>
        </w:rPr>
        <w:t>2.7 Research Gap: The Void in Empirical Field Studies</w:t>
      </w:r>
    </w:p>
    <w:p>
      <w:pPr>
        <w:spacing w:after="120" w:line="360" w:lineRule="auto"/>
        <w:jc w:val="both"/>
      </w:pPr>
      <w:r>
        <w:rPr>
          <w:rFonts w:ascii="Times New Roman" w:hAnsi="Times New Roman"/>
          <w:sz w:val="22"/>
        </w:rPr>
        <w:t>Existing academic literature lacks granular empirical datasets analyzing the micro-latency of circular broadcasting and its direct correlation with student placement assessment failure in Indian colleges.</w:t>
      </w:r>
    </w:p>
    <w:p>
      <w:pPr>
        <w:keepNext/>
        <w:spacing w:before="240" w:after="120"/>
      </w:pPr>
      <w:r>
        <w:rPr>
          <w:rFonts w:ascii="Times New Roman" w:hAnsi="Times New Roman"/>
          <w:b/>
          <w:color w:val="1E3A8A"/>
          <w:sz w:val="26"/>
        </w:rPr>
        <w:t>2.8 Challenges Identified &amp; Quantified</w:t>
      </w:r>
    </w:p>
    <w:p>
      <w:pPr>
        <w:spacing w:after="120" w:line="360" w:lineRule="auto"/>
        <w:jc w:val="both"/>
      </w:pPr>
      <w:r>
        <w:rPr>
          <w:rFonts w:ascii="Times New Roman" w:hAnsi="Times New Roman"/>
          <w:sz w:val="22"/>
        </w:rPr>
        <w:t>The empirical findings from our 200-student dataset at Khalsa College are quantified in the table below:</w:t>
      </w:r>
    </w:p>
    <w:tbl>
      <w:tblPr>
        <w:tblW w:type="auto" w:w="0"/>
        <w:jc w:val="center"/>
        <w:tblLayout w:type="autofit"/>
        <w:tblLook w:firstColumn="1" w:firstRow="1" w:lastColumn="0" w:lastRow="0" w:noHBand="0" w:noVBand="1" w:val="04A0"/>
      </w:tblPr>
      <w:tblGrid>
        <w:gridCol w:w="3010"/>
        <w:gridCol w:w="3010"/>
        <w:gridCol w:w="3010"/>
      </w:tblGrid>
      <w:tr>
        <w:tc>
          <w:tcPr>
            <w:tcW w:type="dxa" w:w="3010"/>
            <w:shd w:fill="1E3A8A"/>
            <w:tcMar>
              <w:top w:w="120" w:type="dxa"/>
              <w:bottom w:w="120" w:type="dxa"/>
              <w:left w:w="150" w:type="dxa"/>
              <w:right w:w="150" w:type="dxa"/>
            </w:tcMar>
          </w:tcPr>
          <w:p>
            <w:pPr>
              <w:jc w:val="center"/>
            </w:pPr>
            <w:r>
              <w:rPr>
                <w:rFonts w:ascii="Times New Roman" w:hAnsi="Times New Roman"/>
                <w:b/>
                <w:color w:val="FFFFFF"/>
                <w:sz w:val="21"/>
              </w:rPr>
              <w:t>Empirical Metric Area</w:t>
            </w:r>
          </w:p>
        </w:tc>
        <w:tc>
          <w:tcPr>
            <w:tcW w:type="dxa" w:w="3010"/>
            <w:shd w:fill="1E3A8A"/>
            <w:tcMar>
              <w:top w:w="120" w:type="dxa"/>
              <w:bottom w:w="120" w:type="dxa"/>
              <w:left w:w="150" w:type="dxa"/>
              <w:right w:w="150" w:type="dxa"/>
            </w:tcMar>
          </w:tcPr>
          <w:p>
            <w:pPr>
              <w:jc w:val="center"/>
            </w:pPr>
            <w:r>
              <w:rPr>
                <w:rFonts w:ascii="Times New Roman" w:hAnsi="Times New Roman"/>
                <w:b/>
                <w:color w:val="FFFFFF"/>
                <w:sz w:val="21"/>
              </w:rPr>
              <w:t>Quantified Survey Finding (N=200)</w:t>
            </w:r>
          </w:p>
        </w:tc>
        <w:tc>
          <w:tcPr>
            <w:tcW w:type="dxa" w:w="3010"/>
            <w:shd w:fill="1E3A8A"/>
            <w:tcMar>
              <w:top w:w="120" w:type="dxa"/>
              <w:bottom w:w="120" w:type="dxa"/>
              <w:left w:w="150" w:type="dxa"/>
              <w:right w:w="150" w:type="dxa"/>
            </w:tcMar>
          </w:tcPr>
          <w:p>
            <w:pPr>
              <w:jc w:val="center"/>
            </w:pPr>
            <w:r>
              <w:rPr>
                <w:rFonts w:ascii="Times New Roman" w:hAnsi="Times New Roman"/>
                <w:b/>
                <w:color w:val="FFFFFF"/>
                <w:sz w:val="21"/>
              </w:rPr>
              <w:t>Statistical Implication</w:t>
            </w:r>
          </w:p>
        </w:tc>
      </w:tr>
      <w:tr>
        <w:tc>
          <w:tcPr>
            <w:tcW w:type="dxa" w:w="3010"/>
            <w:shd w:fill="FFFFFF"/>
            <w:tcMar>
              <w:top w:w="100" w:type="dxa"/>
              <w:bottom w:w="100" w:type="dxa"/>
              <w:left w:w="150" w:type="dxa"/>
              <w:right w:w="150" w:type="dxa"/>
            </w:tcMar>
          </w:tcPr>
          <w:p>
            <w:pPr>
              <w:jc w:val="center"/>
            </w:pPr>
            <w:r>
              <w:rPr>
                <w:rFonts w:ascii="Times New Roman" w:hAnsi="Times New Roman"/>
                <w:color w:val="0F172A"/>
                <w:sz w:val="20"/>
              </w:rPr>
              <w:t>Placement Needs Met</w:t>
            </w:r>
          </w:p>
        </w:tc>
        <w:tc>
          <w:tcPr>
            <w:tcW w:type="dxa" w:w="3010"/>
            <w:shd w:fill="FFFFFF"/>
            <w:tcMar>
              <w:top w:w="100" w:type="dxa"/>
              <w:bottom w:w="100" w:type="dxa"/>
              <w:left w:w="150" w:type="dxa"/>
              <w:right w:w="150" w:type="dxa"/>
            </w:tcMar>
          </w:tcPr>
          <w:p>
            <w:pPr>
              <w:jc w:val="left"/>
            </w:pPr>
            <w:r>
              <w:rPr>
                <w:rFonts w:ascii="Times New Roman" w:hAnsi="Times New Roman"/>
                <w:color w:val="0F172A"/>
                <w:sz w:val="20"/>
              </w:rPr>
              <w:t>18.5% Yes, 46.5% Partly, 26.0% No, 9.0% No exp.</w:t>
            </w:r>
          </w:p>
        </w:tc>
        <w:tc>
          <w:tcPr>
            <w:tcW w:type="dxa" w:w="3010"/>
            <w:shd w:fill="FFFFFF"/>
            <w:tcMar>
              <w:top w:w="100" w:type="dxa"/>
              <w:bottom w:w="100" w:type="dxa"/>
              <w:left w:w="150" w:type="dxa"/>
              <w:right w:w="150" w:type="dxa"/>
            </w:tcMar>
          </w:tcPr>
          <w:p>
            <w:pPr>
              <w:jc w:val="left"/>
            </w:pPr>
            <w:r>
              <w:rPr>
                <w:rFonts w:ascii="Times New Roman" w:hAnsi="Times New Roman"/>
                <w:color w:val="0F172A"/>
                <w:sz w:val="20"/>
              </w:rPr>
              <w:t>72.5% combined unmet or partly met career need.</w:t>
            </w:r>
          </w:p>
        </w:tc>
      </w:tr>
      <w:tr>
        <w:tc>
          <w:tcPr>
            <w:tcW w:type="dxa" w:w="3010"/>
            <w:shd w:fill="F8FAFC"/>
            <w:tcMar>
              <w:top w:w="100" w:type="dxa"/>
              <w:bottom w:w="100" w:type="dxa"/>
              <w:left w:w="150" w:type="dxa"/>
              <w:right w:w="150" w:type="dxa"/>
            </w:tcMar>
          </w:tcPr>
          <w:p>
            <w:pPr>
              <w:jc w:val="center"/>
            </w:pPr>
            <w:r>
              <w:rPr>
                <w:rFonts w:ascii="Times New Roman" w:hAnsi="Times New Roman"/>
                <w:color w:val="0F172A"/>
                <w:sz w:val="20"/>
              </w:rPr>
              <w:t>Notice Timeliness</w:t>
            </w:r>
          </w:p>
        </w:tc>
        <w:tc>
          <w:tcPr>
            <w:tcW w:type="dxa" w:w="3010"/>
            <w:shd w:fill="F8FAFC"/>
            <w:tcMar>
              <w:top w:w="100" w:type="dxa"/>
              <w:bottom w:w="100" w:type="dxa"/>
              <w:left w:w="150" w:type="dxa"/>
              <w:right w:w="150" w:type="dxa"/>
            </w:tcMar>
          </w:tcPr>
          <w:p>
            <w:pPr>
              <w:jc w:val="left"/>
            </w:pPr>
            <w:r>
              <w:rPr>
                <w:rFonts w:ascii="Times New Roman" w:hAnsi="Times New Roman"/>
                <w:color w:val="0F172A"/>
                <w:sz w:val="20"/>
              </w:rPr>
              <w:t>61.0% receive notices rarely or only sometimes.</w:t>
            </w:r>
          </w:p>
        </w:tc>
        <w:tc>
          <w:tcPr>
            <w:tcW w:type="dxa" w:w="3010"/>
            <w:shd w:fill="F8FAFC"/>
            <w:tcMar>
              <w:top w:w="100" w:type="dxa"/>
              <w:bottom w:w="100" w:type="dxa"/>
              <w:left w:w="150" w:type="dxa"/>
              <w:right w:w="150" w:type="dxa"/>
            </w:tcMar>
          </w:tcPr>
          <w:p>
            <w:pPr>
              <w:jc w:val="left"/>
            </w:pPr>
            <w:r>
              <w:rPr>
                <w:rFonts w:ascii="Times New Roman" w:hAnsi="Times New Roman"/>
                <w:color w:val="0F172A"/>
                <w:sz w:val="20"/>
              </w:rPr>
              <w:t>Direct cause of compressed preparation windows.</w:t>
            </w:r>
          </w:p>
        </w:tc>
      </w:tr>
      <w:tr>
        <w:tc>
          <w:tcPr>
            <w:tcW w:type="dxa" w:w="3010"/>
            <w:shd w:fill="FFFFFF"/>
            <w:tcMar>
              <w:top w:w="100" w:type="dxa"/>
              <w:bottom w:w="100" w:type="dxa"/>
              <w:left w:w="150" w:type="dxa"/>
              <w:right w:w="150" w:type="dxa"/>
            </w:tcMar>
          </w:tcPr>
          <w:p>
            <w:pPr>
              <w:jc w:val="center"/>
            </w:pPr>
            <w:r>
              <w:rPr>
                <w:rFonts w:ascii="Times New Roman" w:hAnsi="Times New Roman"/>
                <w:color w:val="0F172A"/>
                <w:sz w:val="20"/>
              </w:rPr>
              <w:t>Aptitude Support Usefulness</w:t>
            </w:r>
          </w:p>
        </w:tc>
        <w:tc>
          <w:tcPr>
            <w:tcW w:type="dxa" w:w="3010"/>
            <w:shd w:fill="FFFFFF"/>
            <w:tcMar>
              <w:top w:w="100" w:type="dxa"/>
              <w:bottom w:w="100" w:type="dxa"/>
              <w:left w:w="150" w:type="dxa"/>
              <w:right w:w="150" w:type="dxa"/>
            </w:tcMar>
          </w:tcPr>
          <w:p>
            <w:pPr>
              <w:jc w:val="left"/>
            </w:pPr>
            <w:r>
              <w:rPr>
                <w:rFonts w:ascii="Times New Roman" w:hAnsi="Times New Roman"/>
                <w:color w:val="0F172A"/>
                <w:sz w:val="20"/>
              </w:rPr>
              <w:t>68.0% rated aptitude training not useful / unhelpful.</w:t>
            </w:r>
          </w:p>
        </w:tc>
        <w:tc>
          <w:tcPr>
            <w:tcW w:type="dxa" w:w="3010"/>
            <w:shd w:fill="FFFFFF"/>
            <w:tcMar>
              <w:top w:w="100" w:type="dxa"/>
              <w:bottom w:w="100" w:type="dxa"/>
              <w:left w:w="150" w:type="dxa"/>
              <w:right w:w="150" w:type="dxa"/>
            </w:tcMar>
          </w:tcPr>
          <w:p>
            <w:pPr>
              <w:jc w:val="left"/>
            </w:pPr>
            <w:r>
              <w:rPr>
                <w:rFonts w:ascii="Times New Roman" w:hAnsi="Times New Roman"/>
                <w:color w:val="0F172A"/>
                <w:sz w:val="20"/>
              </w:rPr>
              <w:t>Acute mismatch with corporate machine coding rounds.</w:t>
            </w:r>
          </w:p>
        </w:tc>
      </w:tr>
      <w:tr>
        <w:tc>
          <w:tcPr>
            <w:tcW w:type="dxa" w:w="3010"/>
            <w:shd w:fill="F8FAFC"/>
            <w:tcMar>
              <w:top w:w="100" w:type="dxa"/>
              <w:bottom w:w="100" w:type="dxa"/>
              <w:left w:w="150" w:type="dxa"/>
              <w:right w:w="150" w:type="dxa"/>
            </w:tcMar>
          </w:tcPr>
          <w:p>
            <w:pPr>
              <w:jc w:val="center"/>
            </w:pPr>
            <w:r>
              <w:rPr>
                <w:rFonts w:ascii="Times New Roman" w:hAnsi="Times New Roman"/>
                <w:color w:val="0F172A"/>
                <w:sz w:val="20"/>
              </w:rPr>
              <w:t>Missed Assessment Deadlines</w:t>
            </w:r>
          </w:p>
        </w:tc>
        <w:tc>
          <w:tcPr>
            <w:tcW w:type="dxa" w:w="3010"/>
            <w:shd w:fill="F8FAFC"/>
            <w:tcMar>
              <w:top w:w="100" w:type="dxa"/>
              <w:bottom w:w="100" w:type="dxa"/>
              <w:left w:w="150" w:type="dxa"/>
              <w:right w:w="150" w:type="dxa"/>
            </w:tcMar>
          </w:tcPr>
          <w:p>
            <w:pPr>
              <w:jc w:val="left"/>
            </w:pPr>
            <w:r>
              <w:rPr>
                <w:rFonts w:ascii="Times New Roman" w:hAnsi="Times New Roman"/>
                <w:color w:val="0F172A"/>
                <w:sz w:val="20"/>
              </w:rPr>
              <w:t>71.0% report missing or scrambling during tests.</w:t>
            </w:r>
          </w:p>
        </w:tc>
        <w:tc>
          <w:tcPr>
            <w:tcW w:type="dxa" w:w="3010"/>
            <w:shd w:fill="F8FAFC"/>
            <w:tcMar>
              <w:top w:w="100" w:type="dxa"/>
              <w:bottom w:w="100" w:type="dxa"/>
              <w:left w:w="150" w:type="dxa"/>
              <w:right w:w="150" w:type="dxa"/>
            </w:tcMar>
          </w:tcPr>
          <w:p>
            <w:pPr>
              <w:jc w:val="left"/>
            </w:pPr>
            <w:r>
              <w:rPr>
                <w:rFonts w:ascii="Times New Roman" w:hAnsi="Times New Roman"/>
                <w:color w:val="0F172A"/>
                <w:sz w:val="20"/>
              </w:rPr>
              <w:t>Direct correlation with 36-hour message forwarding lag.</w:t>
            </w:r>
          </w:p>
        </w:tc>
      </w:tr>
    </w:tbl>
    <w:p>
      <w:pPr>
        <w:spacing w:after="120"/>
      </w:pPr>
    </w:p>
    <w:p>
      <w:r>
        <w:br w:type="page"/>
      </w:r>
    </w:p>
    <w:p>
      <w:pPr>
        <w:keepNext/>
        <w:spacing w:before="360" w:after="160"/>
      </w:pPr>
      <w:r>
        <w:rPr>
          <w:rFonts w:ascii="Times New Roman" w:hAnsi="Times New Roman"/>
          <w:b/>
          <w:color w:val="0F172A"/>
          <w:sz w:val="32"/>
        </w:rPr>
        <w:t>CHAPTER 3: PROPOSED SOLUTION</w:t>
      </w:r>
    </w:p>
    <w:p>
      <w:pPr>
        <w:keepNext/>
        <w:spacing w:before="240" w:after="120"/>
      </w:pPr>
      <w:r>
        <w:rPr>
          <w:rFonts w:ascii="Times New Roman" w:hAnsi="Times New Roman"/>
          <w:b/>
          <w:color w:val="1E3A8A"/>
          <w:sz w:val="26"/>
        </w:rPr>
        <w:t>3.1 Solution Overview: The Skill Bridge Data Architecture</w:t>
      </w:r>
    </w:p>
    <w:p>
      <w:pPr>
        <w:spacing w:after="120" w:line="360" w:lineRule="auto"/>
        <w:jc w:val="both"/>
      </w:pPr>
      <w:r>
        <w:rPr>
          <w:rFonts w:ascii="Times New Roman" w:hAnsi="Times New Roman"/>
          <w:sz w:val="22"/>
        </w:rPr>
        <w:t>'Skill Bridge' is engineered as a metric-driven, transparent collegiate community portal designed to replace informal chat chains with real-time digital synchronization. It provides structured role separation between Student and Placement Coordinator desks, enforces deterministic skill matching, and tracks workshop capacities in real time.</w:t>
      </w:r>
    </w:p>
    <w:p>
      <w:pPr>
        <w:spacing w:after="120" w:line="360" w:lineRule="auto"/>
        <w:jc w:val="both"/>
      </w:pPr>
      <w:r>
        <w:rPr>
          <w:rFonts w:ascii="Times New Roman" w:hAnsi="Times New Roman"/>
          <w:sz w:val="22"/>
        </w:rPr>
        <w:t>The system architecture addresses the quantified survey pain points directly:</w:t>
      </w:r>
    </w:p>
    <w:p>
      <w:pPr>
        <w:pStyle w:val="ListBullet"/>
        <w:spacing w:after="80" w:line="312" w:lineRule="auto"/>
        <w:jc w:val="both"/>
      </w:pPr>
      <w:r>
        <w:rPr>
          <w:rFonts w:ascii="Times New Roman" w:hAnsi="Times New Roman"/>
          <w:b/>
          <w:sz w:val="22"/>
        </w:rPr>
        <w:t xml:space="preserve">Zero-Latency Circular Broadcasting: </w:t>
      </w:r>
      <w:r>
        <w:rPr>
          <w:rFonts w:ascii="Times New Roman" w:hAnsi="Times New Roman"/>
          <w:sz w:val="22"/>
        </w:rPr>
        <w:t>Centralized vacancy circulars are accessible instantly upon publication, eliminating the 36-hour messaging lag.</w:t>
      </w:r>
    </w:p>
    <w:p>
      <w:pPr>
        <w:pStyle w:val="ListBullet"/>
        <w:spacing w:after="80" w:line="312" w:lineRule="auto"/>
        <w:jc w:val="both"/>
      </w:pPr>
      <w:r>
        <w:rPr>
          <w:rFonts w:ascii="Times New Roman" w:hAnsi="Times New Roman"/>
          <w:b/>
          <w:sz w:val="22"/>
        </w:rPr>
        <w:t xml:space="preserve">Deterministic Rule-Based Matching: </w:t>
      </w:r>
      <w:r>
        <w:rPr>
          <w:rFonts w:ascii="Times New Roman" w:hAnsi="Times New Roman"/>
          <w:sz w:val="22"/>
        </w:rPr>
        <w:t>Calculates compatibility scores based on transparent set overlap between student skills and job requirements.</w:t>
      </w:r>
    </w:p>
    <w:p>
      <w:pPr>
        <w:pStyle w:val="ListBullet"/>
        <w:spacing w:after="80" w:line="312" w:lineRule="auto"/>
        <w:jc w:val="both"/>
      </w:pPr>
      <w:r>
        <w:rPr>
          <w:rFonts w:ascii="Times New Roman" w:hAnsi="Times New Roman"/>
          <w:b/>
          <w:sz w:val="22"/>
        </w:rPr>
        <w:t xml:space="preserve">Real-Time Clinic Quota Management: </w:t>
      </w:r>
      <w:r>
        <w:rPr>
          <w:rFonts w:ascii="Times New Roman" w:hAnsi="Times New Roman"/>
          <w:sz w:val="22"/>
        </w:rPr>
        <w:t>Enforces workshop capacity limits with atomic seat reservations, preventing spreadsheet sync conflicts.</w:t>
      </w:r>
    </w:p>
    <w:p>
      <w:pPr>
        <w:pStyle w:val="ListBullet"/>
        <w:spacing w:after="80" w:line="312" w:lineRule="auto"/>
        <w:jc w:val="both"/>
      </w:pPr>
      <w:r>
        <w:rPr>
          <w:rFonts w:ascii="Times New Roman" w:hAnsi="Times New Roman"/>
          <w:b/>
          <w:sz w:val="22"/>
        </w:rPr>
        <w:t xml:space="preserve">Tokenized Anonymous Grievance Pipeline: </w:t>
      </w:r>
      <w:r>
        <w:rPr>
          <w:rFonts w:ascii="Times New Roman" w:hAnsi="Times New Roman"/>
          <w:sz w:val="22"/>
        </w:rPr>
        <w:t>Generates anonymous tracking tokens (e.g. TKT-9182) that shield student identities while measuring resolution times.</w:t>
      </w:r>
    </w:p>
    <w:p>
      <w:pPr>
        <w:keepNext/>
        <w:spacing w:before="240" w:after="120"/>
      </w:pPr>
      <w:r>
        <w:rPr>
          <w:rFonts w:ascii="Times New Roman" w:hAnsi="Times New Roman"/>
          <w:b/>
          <w:color w:val="1E3A8A"/>
          <w:sz w:val="26"/>
        </w:rPr>
        <w:t>3.2 System Architecture: Closed-Loop Metric Design</w:t>
      </w:r>
    </w:p>
    <w:p>
      <w:pPr>
        <w:spacing w:after="120" w:line="360" w:lineRule="auto"/>
        <w:jc w:val="both"/>
      </w:pPr>
      <w:r>
        <w:rPr>
          <w:rFonts w:ascii="Times New Roman" w:hAnsi="Times New Roman"/>
          <w:sz w:val="22"/>
        </w:rPr>
        <w:t>The data architecture of Skill Bridge operates across three synchronized layers:</w:t>
      </w:r>
    </w:p>
    <w:p>
      <w:pPr>
        <w:spacing w:after="120" w:line="360" w:lineRule="auto"/>
        <w:jc w:val="both"/>
      </w:pPr>
      <w:r>
        <w:rPr>
          <w:rFonts w:ascii="Times New Roman" w:hAnsi="Times New Roman"/>
          <w:sz w:val="22"/>
        </w:rPr>
        <w:t>1. Front-End Dashboard Layer: Delivers responsive views with color-coded deadline countdown indicators (Red: &lt;24h; Amber: &lt;72h; Green: Open).</w:t>
        <w:br/>
        <w:t>2. Analytics &amp; Matching Engine Tier: Executes deterministic skill-overlap calculations and maintains real-time KPI counters.</w:t>
        <w:br/>
        <w:t>3. Relational Database Tier: Enforces foreign key integrity across candidate profiles, circulars, workshop enrollments, and grievance tickets.</w:t>
      </w:r>
    </w:p>
    <w:p>
      <w:pPr>
        <w:keepNext/>
        <w:spacing w:before="240" w:after="120"/>
      </w:pPr>
      <w:r>
        <w:rPr>
          <w:rFonts w:ascii="Times New Roman" w:hAnsi="Times New Roman"/>
          <w:b/>
          <w:color w:val="1E3A8A"/>
          <w:sz w:val="26"/>
        </w:rPr>
        <w:t>3.3 Process Flow Diagram</w:t>
      </w:r>
    </w:p>
    <w:p>
      <w:pPr>
        <w:spacing w:after="120" w:line="360" w:lineRule="auto"/>
        <w:jc w:val="both"/>
      </w:pPr>
      <w:r>
        <w:rPr>
          <w:rFonts w:ascii="Times New Roman" w:hAnsi="Times New Roman"/>
          <w:sz w:val="22"/>
        </w:rPr>
        <w:t>The system data flow from circular publication to candidate status updates is shown below:</w:t>
      </w: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FIGURE 3.1: CLOSED-LOOP DATA ARCHITECTURE &amp; PROCESS FLOW OF SKILL BRIDGE ---</w:t>
              <w:br/>
              <w:br/>
            </w:r>
            <w:r>
              <w:rPr>
                <w:rFonts w:ascii="Times New Roman" w:hAnsi="Times New Roman"/>
                <w:b/>
                <w:i/>
                <w:color w:val="B91C1C"/>
                <w:sz w:val="24"/>
              </w:rPr>
              <w:t>[(add picture)]</w:t>
              <w:br/>
              <w:br/>
            </w:r>
            <w:r>
              <w:rPr>
                <w:rFonts w:ascii="Times New Roman" w:hAnsi="Times New Roman"/>
                <w:i/>
                <w:color w:val="475569"/>
                <w:sz w:val="20"/>
              </w:rPr>
              <w:t>Data flow diagram illustrating circular ingestion, deterministic candidate skill matching, real-time workshop quota updates, and anonymized grievance routing.</w:t>
            </w:r>
          </w:p>
        </w:tc>
      </w:tr>
    </w:tbl>
    <w:p>
      <w:pPr>
        <w:spacing w:after="80"/>
      </w:pPr>
    </w:p>
    <w:p>
      <w:pPr>
        <w:keepNext/>
        <w:spacing w:before="240" w:after="120"/>
      </w:pPr>
      <w:r>
        <w:rPr>
          <w:rFonts w:ascii="Times New Roman" w:hAnsi="Times New Roman"/>
          <w:b/>
          <w:color w:val="1E3A8A"/>
          <w:sz w:val="26"/>
        </w:rPr>
        <w:t>3.4 Module Description</w:t>
      </w:r>
    </w:p>
    <w:p>
      <w:pPr>
        <w:pStyle w:val="ListBullet"/>
        <w:spacing w:after="80" w:line="312" w:lineRule="auto"/>
        <w:jc w:val="both"/>
      </w:pPr>
      <w:r>
        <w:rPr>
          <w:rFonts w:ascii="Times New Roman" w:hAnsi="Times New Roman"/>
          <w:b/>
          <w:sz w:val="22"/>
        </w:rPr>
        <w:t xml:space="preserve">Candidate Profile &amp; Skill Vector Desk: </w:t>
      </w:r>
      <w:r>
        <w:rPr>
          <w:rFonts w:ascii="Times New Roman" w:hAnsi="Times New Roman"/>
          <w:sz w:val="22"/>
        </w:rPr>
        <w:t>Maintains candidate branch, percentage, backlogs, technical skill arrays, and GitHub links.</w:t>
      </w:r>
    </w:p>
    <w:p>
      <w:pPr>
        <w:pStyle w:val="ListBullet"/>
        <w:spacing w:after="80" w:line="312" w:lineRule="auto"/>
        <w:jc w:val="both"/>
      </w:pPr>
      <w:r>
        <w:rPr>
          <w:rFonts w:ascii="Times New Roman" w:hAnsi="Times New Roman"/>
          <w:b/>
          <w:sz w:val="22"/>
        </w:rPr>
        <w:t xml:space="preserve">Explainable Matching Engine: </w:t>
      </w:r>
      <w:r>
        <w:rPr>
          <w:rFonts w:ascii="Times New Roman" w:hAnsi="Times New Roman"/>
          <w:sz w:val="22"/>
        </w:rPr>
        <w:t>Computes deterministic match ratios and provides itemized lists of matched and missing technical competencies.</w:t>
      </w:r>
    </w:p>
    <w:p>
      <w:pPr>
        <w:pStyle w:val="ListBullet"/>
        <w:spacing w:after="80" w:line="312" w:lineRule="auto"/>
        <w:jc w:val="both"/>
      </w:pPr>
      <w:r>
        <w:rPr>
          <w:rFonts w:ascii="Times New Roman" w:hAnsi="Times New Roman"/>
          <w:b/>
          <w:sz w:val="22"/>
        </w:rPr>
        <w:t xml:space="preserve">Real-Time Opportunity Board: </w:t>
      </w:r>
      <w:r>
        <w:rPr>
          <w:rFonts w:ascii="Times New Roman" w:hAnsi="Times New Roman"/>
          <w:sz w:val="22"/>
        </w:rPr>
        <w:t>Displays verified circulars with countdown timers, preventing missed assessment windows.</w:t>
      </w:r>
    </w:p>
    <w:p>
      <w:pPr>
        <w:pStyle w:val="ListBullet"/>
        <w:spacing w:after="80" w:line="312" w:lineRule="auto"/>
        <w:jc w:val="both"/>
      </w:pPr>
      <w:r>
        <w:rPr>
          <w:rFonts w:ascii="Times New Roman" w:hAnsi="Times New Roman"/>
          <w:b/>
          <w:sz w:val="22"/>
        </w:rPr>
        <w:t xml:space="preserve">Workshop Capacity &amp; Attendance Module: </w:t>
      </w:r>
      <w:r>
        <w:rPr>
          <w:rFonts w:ascii="Times New Roman" w:hAnsi="Times New Roman"/>
          <w:sz w:val="22"/>
        </w:rPr>
        <w:t>Tracks real-time seat tallies and enables coordinators to mark attendance rosters.</w:t>
      </w:r>
    </w:p>
    <w:p>
      <w:pPr>
        <w:pStyle w:val="ListBullet"/>
        <w:spacing w:after="80" w:line="312" w:lineRule="auto"/>
        <w:jc w:val="both"/>
      </w:pPr>
      <w:r>
        <w:rPr>
          <w:rFonts w:ascii="Times New Roman" w:hAnsi="Times New Roman"/>
          <w:b/>
          <w:sz w:val="22"/>
        </w:rPr>
        <w:t xml:space="preserve">Anonymous Grievance &amp; Guidance Desks: </w:t>
      </w:r>
      <w:r>
        <w:rPr>
          <w:rFonts w:ascii="Times New Roman" w:hAnsi="Times New Roman"/>
          <w:sz w:val="22"/>
        </w:rPr>
        <w:t>Manages confidential student feedback and 1-on-1 career guidance appointment bookings.</w:t>
      </w:r>
    </w:p>
    <w:p>
      <w:pPr>
        <w:keepNext/>
        <w:spacing w:before="240" w:after="120"/>
      </w:pPr>
      <w:r>
        <w:rPr>
          <w:rFonts w:ascii="Times New Roman" w:hAnsi="Times New Roman"/>
          <w:b/>
          <w:color w:val="1E3A8A"/>
          <w:sz w:val="26"/>
        </w:rPr>
        <w:t>3.5 Advantages: Measurable Transparency &amp; Real-Time Tracking</w:t>
      </w:r>
    </w:p>
    <w:p>
      <w:pPr>
        <w:spacing w:after="120" w:line="360" w:lineRule="auto"/>
        <w:jc w:val="both"/>
      </w:pPr>
      <w:r>
        <w:rPr>
          <w:rFonts w:ascii="Times New Roman" w:hAnsi="Times New Roman"/>
          <w:sz w:val="22"/>
        </w:rPr>
        <w:t>Skill Bridge replaces opaque, delayed manual processes with auditable, real-time metrics. Candidates understand exactly which skills they lack and can immediately reserve a seat in a relevant practical workshop clinic.</w:t>
      </w:r>
    </w:p>
    <w:p>
      <w:r>
        <w:br w:type="page"/>
      </w:r>
    </w:p>
    <w:p>
      <w:pPr>
        <w:keepNext/>
        <w:spacing w:before="360" w:after="160"/>
      </w:pPr>
      <w:r>
        <w:rPr>
          <w:rFonts w:ascii="Times New Roman" w:hAnsi="Times New Roman"/>
          <w:b/>
          <w:color w:val="0F172A"/>
          <w:sz w:val="32"/>
        </w:rPr>
        <w:t>CHAPTER 4: SYSTEM DESIGN</w:t>
      </w:r>
    </w:p>
    <w:p>
      <w:pPr>
        <w:keepNext/>
        <w:spacing w:before="240" w:after="120"/>
      </w:pPr>
      <w:r>
        <w:rPr>
          <w:rFonts w:ascii="Times New Roman" w:hAnsi="Times New Roman"/>
          <w:b/>
          <w:color w:val="1E3A8A"/>
          <w:sz w:val="26"/>
        </w:rPr>
        <w:t>4.1 System Design Overview</w:t>
      </w:r>
    </w:p>
    <w:p>
      <w:pPr>
        <w:spacing w:after="120" w:line="360" w:lineRule="auto"/>
        <w:jc w:val="both"/>
      </w:pPr>
      <w:r>
        <w:rPr>
          <w:rFonts w:ascii="Times New Roman" w:hAnsi="Times New Roman"/>
          <w:sz w:val="22"/>
        </w:rPr>
        <w:t>System design focuses on relational consistency, deterministic algorithms, and low latency. The database schema strictly enforces candidate-opportunity uniqueness, preventing duplicate submissions.</w:t>
      </w:r>
    </w:p>
    <w:p>
      <w:pPr>
        <w:keepNext/>
        <w:spacing w:before="240" w:after="120"/>
      </w:pPr>
      <w:r>
        <w:rPr>
          <w:rFonts w:ascii="Times New Roman" w:hAnsi="Times New Roman"/>
          <w:b/>
          <w:color w:val="1E3A8A"/>
          <w:sz w:val="26"/>
        </w:rPr>
        <w:t>4.2 Use Case Diagram &amp; Relational Flow Analysis</w:t>
      </w:r>
    </w:p>
    <w:p>
      <w:pPr>
        <w:spacing w:after="120" w:line="360" w:lineRule="auto"/>
        <w:jc w:val="both"/>
      </w:pPr>
      <w:r>
        <w:rPr>
          <w:rFonts w:ascii="Times New Roman" w:hAnsi="Times New Roman"/>
          <w:sz w:val="22"/>
        </w:rPr>
        <w:t>The use case model delineates functional interactions across Student, Placement Coordinator, and Administrator actors:</w:t>
      </w: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FIGURE 4.1: USE CASE DIAGRAM OF SKILL BRIDGE DATA PIPELINE ---</w:t>
              <w:br/>
              <w:br/>
            </w:r>
            <w:r>
              <w:rPr>
                <w:rFonts w:ascii="Times New Roman" w:hAnsi="Times New Roman"/>
                <w:b/>
                <w:i/>
                <w:color w:val="B91C1C"/>
                <w:sz w:val="24"/>
              </w:rPr>
              <w:t>[(add picture)]</w:t>
              <w:br/>
              <w:br/>
            </w:r>
            <w:r>
              <w:rPr>
                <w:rFonts w:ascii="Times New Roman" w:hAnsi="Times New Roman"/>
                <w:i/>
                <w:color w:val="475569"/>
                <w:sz w:val="20"/>
              </w:rPr>
              <w:t>UML Use Case diagram detailing candidate interactions with skill profiles, circular matching, clinic registration, and coordinator review queues.</w:t>
            </w:r>
          </w:p>
        </w:tc>
      </w:tr>
    </w:tbl>
    <w:p>
      <w:pPr>
        <w:spacing w:after="80"/>
      </w:pPr>
    </w:p>
    <w:p>
      <w:pPr>
        <w:keepNext/>
        <w:spacing w:before="240" w:after="120"/>
      </w:pPr>
      <w:r>
        <w:rPr>
          <w:rFonts w:ascii="Times New Roman" w:hAnsi="Times New Roman"/>
          <w:b/>
          <w:color w:val="1E3A8A"/>
          <w:sz w:val="26"/>
        </w:rPr>
        <w:t>4.3 Workflow Diagram</w:t>
      </w:r>
    </w:p>
    <w:p>
      <w:pPr>
        <w:spacing w:after="120" w:line="360" w:lineRule="auto"/>
        <w:jc w:val="both"/>
      </w:pPr>
      <w:r>
        <w:rPr>
          <w:rFonts w:ascii="Times New Roman" w:hAnsi="Times New Roman"/>
          <w:sz w:val="22"/>
        </w:rPr>
        <w:t>The activity workflow models state transitions across opportunity discovery, matching, workshop booking, and feedback tracking:</w:t>
      </w: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FIGURE 4.2: COMPREHENSIVE ACTIVITY WORKFLOW DIAGRAM ---</w:t>
              <w:br/>
              <w:br/>
            </w:r>
            <w:r>
              <w:rPr>
                <w:rFonts w:ascii="Times New Roman" w:hAnsi="Times New Roman"/>
                <w:b/>
                <w:i/>
                <w:color w:val="B91C1C"/>
                <w:sz w:val="24"/>
              </w:rPr>
              <w:t>[(add picture)]</w:t>
              <w:br/>
              <w:br/>
            </w:r>
            <w:r>
              <w:rPr>
                <w:rFonts w:ascii="Times New Roman" w:hAnsi="Times New Roman"/>
                <w:i/>
                <w:color w:val="475569"/>
                <w:sz w:val="20"/>
              </w:rPr>
              <w:t>Activity diagram detailing the sequential flow from circular creation to candidate matching, workshop registration, and coordinator status dispatch.</w:t>
            </w:r>
          </w:p>
        </w:tc>
      </w:tr>
    </w:tbl>
    <w:p>
      <w:pPr>
        <w:spacing w:after="80"/>
      </w:pPr>
    </w:p>
    <w:p>
      <w:pPr>
        <w:keepNext/>
        <w:spacing w:before="240" w:after="120"/>
      </w:pPr>
      <w:r>
        <w:rPr>
          <w:rFonts w:ascii="Times New Roman" w:hAnsi="Times New Roman"/>
          <w:b/>
          <w:color w:val="1E3A8A"/>
          <w:sz w:val="26"/>
        </w:rPr>
        <w:t>4.4 Module Design Specifications</w:t>
      </w:r>
    </w:p>
    <w:p>
      <w:pPr>
        <w:spacing w:after="120" w:line="360" w:lineRule="auto"/>
        <w:jc w:val="both"/>
      </w:pPr>
      <w:r>
        <w:rPr>
          <w:rFonts w:ascii="Times New Roman" w:hAnsi="Times New Roman"/>
          <w:sz w:val="22"/>
        </w:rPr>
        <w:t>Key design specifications include relational candidate-opportunity constraints, real-time workshop seat reservation locks, and cryptographic decoupling of student IDs from grievance tickets.</w:t>
      </w:r>
    </w:p>
    <w:p>
      <w:r>
        <w:br w:type="page"/>
      </w:r>
    </w:p>
    <w:p>
      <w:pPr>
        <w:keepNext/>
        <w:spacing w:before="360" w:after="160"/>
      </w:pPr>
      <w:r>
        <w:rPr>
          <w:rFonts w:ascii="Times New Roman" w:hAnsi="Times New Roman"/>
          <w:b/>
          <w:color w:val="0F172A"/>
          <w:sz w:val="32"/>
        </w:rPr>
        <w:t>CHAPTER 5: PROJECT IMPLEMENTATION</w:t>
      </w:r>
    </w:p>
    <w:p>
      <w:pPr>
        <w:keepNext/>
        <w:spacing w:before="240" w:after="120"/>
      </w:pPr>
      <w:r>
        <w:rPr>
          <w:rFonts w:ascii="Times New Roman" w:hAnsi="Times New Roman"/>
          <w:b/>
          <w:color w:val="1E3A8A"/>
          <w:sz w:val="26"/>
        </w:rPr>
        <w:t>5.1 Development Methodology: Metric-Driven Iterative Sprints</w:t>
      </w:r>
    </w:p>
    <w:p>
      <w:pPr>
        <w:spacing w:after="120" w:line="360" w:lineRule="auto"/>
        <w:jc w:val="both"/>
      </w:pPr>
      <w:r>
        <w:rPr>
          <w:rFonts w:ascii="Times New Roman" w:hAnsi="Times New Roman"/>
          <w:sz w:val="22"/>
        </w:rPr>
        <w:t>Implementation followed an Agile methodology guided by empirical usability metrics recorded during our visits to Khalsa College:</w:t>
      </w:r>
    </w:p>
    <w:p>
      <w:pPr>
        <w:pStyle w:val="ListBullet"/>
        <w:spacing w:after="80" w:line="312" w:lineRule="auto"/>
        <w:jc w:val="both"/>
      </w:pPr>
      <w:r>
        <w:rPr>
          <w:rFonts w:ascii="Times New Roman" w:hAnsi="Times New Roman"/>
          <w:b/>
          <w:sz w:val="22"/>
        </w:rPr>
        <w:t xml:space="preserve">Sprint 1 (Post-Visit 1): </w:t>
      </w:r>
      <w:r>
        <w:rPr>
          <w:rFonts w:ascii="Times New Roman" w:hAnsi="Times New Roman"/>
          <w:sz w:val="22"/>
        </w:rPr>
        <w:t>Constructed foundational dual-desk layout, student profile editor, and preliminary circular board.</w:t>
      </w:r>
    </w:p>
    <w:p>
      <w:pPr>
        <w:pStyle w:val="ListBullet"/>
        <w:spacing w:after="80" w:line="312" w:lineRule="auto"/>
        <w:jc w:val="both"/>
      </w:pPr>
      <w:r>
        <w:rPr>
          <w:rFonts w:ascii="Times New Roman" w:hAnsi="Times New Roman"/>
          <w:b/>
          <w:sz w:val="22"/>
        </w:rPr>
        <w:t xml:space="preserve">Sprint 2 (Post-Visit 2): </w:t>
      </w:r>
      <w:r>
        <w:rPr>
          <w:rFonts w:ascii="Times New Roman" w:hAnsi="Times New Roman"/>
          <w:sz w:val="22"/>
        </w:rPr>
        <w:t>Overhauled matching from an opaque score to an itemized skill breakdown ('Matched: React, Node.js; Missing: Docker'), increased mobile touch button targets to 44px, and added urgent 24h deadline badges.</w:t>
      </w:r>
    </w:p>
    <w:p>
      <w:pPr>
        <w:pStyle w:val="ListBullet"/>
        <w:spacing w:after="80" w:line="312" w:lineRule="auto"/>
        <w:jc w:val="both"/>
      </w:pPr>
      <w:r>
        <w:rPr>
          <w:rFonts w:ascii="Times New Roman" w:hAnsi="Times New Roman"/>
          <w:b/>
          <w:sz w:val="22"/>
        </w:rPr>
        <w:t xml:space="preserve">Sprint 3 (Post-Visit 3): </w:t>
      </w:r>
      <w:r>
        <w:rPr>
          <w:rFonts w:ascii="Times New Roman" w:hAnsi="Times New Roman"/>
          <w:sz w:val="22"/>
        </w:rPr>
        <w:t>Finalized coordinator candidate review feedback trails and workshop attendance auditing rosters.</w:t>
      </w:r>
    </w:p>
    <w:p>
      <w:pPr>
        <w:keepNext/>
        <w:spacing w:before="240" w:after="120"/>
      </w:pPr>
      <w:r>
        <w:rPr>
          <w:rFonts w:ascii="Times New Roman" w:hAnsi="Times New Roman"/>
          <w:b/>
          <w:color w:val="1E3A8A"/>
          <w:sz w:val="26"/>
        </w:rPr>
        <w:t>5.2 Module-wise Implementation</w:t>
      </w:r>
    </w:p>
    <w:p>
      <w:pPr>
        <w:pStyle w:val="ListBullet"/>
        <w:spacing w:after="80" w:line="312" w:lineRule="auto"/>
        <w:jc w:val="both"/>
      </w:pPr>
      <w:r>
        <w:rPr>
          <w:rFonts w:ascii="Times New Roman" w:hAnsi="Times New Roman"/>
          <w:b/>
          <w:sz w:val="22"/>
        </w:rPr>
        <w:t xml:space="preserve">Student Workspace: </w:t>
      </w:r>
      <w:r>
        <w:rPr>
          <w:rFonts w:ascii="Times New Roman" w:hAnsi="Times New Roman"/>
          <w:sz w:val="22"/>
        </w:rPr>
        <w:t>Displays candidate profile parameters, personalized circulars, skill match scores, and enrolled workshops.</w:t>
      </w:r>
    </w:p>
    <w:p>
      <w:pPr>
        <w:pStyle w:val="ListBullet"/>
        <w:spacing w:after="80" w:line="312" w:lineRule="auto"/>
        <w:jc w:val="both"/>
      </w:pPr>
      <w:r>
        <w:rPr>
          <w:rFonts w:ascii="Times New Roman" w:hAnsi="Times New Roman"/>
          <w:b/>
          <w:sz w:val="22"/>
        </w:rPr>
        <w:t xml:space="preserve">Coordinator Command Desk: </w:t>
      </w:r>
      <w:r>
        <w:rPr>
          <w:rFonts w:ascii="Times New Roman" w:hAnsi="Times New Roman"/>
          <w:sz w:val="22"/>
        </w:rPr>
        <w:t>Provides real-time operational KPI metric cards and candidate review queues with direct feedback entry.</w:t>
      </w:r>
    </w:p>
    <w:p>
      <w:pPr>
        <w:pStyle w:val="ListBullet"/>
        <w:spacing w:after="80" w:line="312" w:lineRule="auto"/>
        <w:jc w:val="both"/>
      </w:pPr>
      <w:r>
        <w:rPr>
          <w:rFonts w:ascii="Times New Roman" w:hAnsi="Times New Roman"/>
          <w:b/>
          <w:sz w:val="22"/>
        </w:rPr>
        <w:t xml:space="preserve">Deterministic Matching Engine: </w:t>
      </w:r>
      <w:r>
        <w:rPr>
          <w:rFonts w:ascii="Times New Roman" w:hAnsi="Times New Roman"/>
          <w:sz w:val="22"/>
        </w:rPr>
        <w:t>Evaluates academic criteria and normalized skill overlap ratios to produce explainable match rationales.</w:t>
      </w:r>
    </w:p>
    <w:p>
      <w:pPr>
        <w:pStyle w:val="ListBullet"/>
        <w:spacing w:after="80" w:line="312" w:lineRule="auto"/>
        <w:jc w:val="both"/>
      </w:pPr>
      <w:r>
        <w:rPr>
          <w:rFonts w:ascii="Times New Roman" w:hAnsi="Times New Roman"/>
          <w:b/>
          <w:sz w:val="22"/>
        </w:rPr>
        <w:t xml:space="preserve">Anonymous Feedback Pipeline: </w:t>
      </w:r>
      <w:r>
        <w:rPr>
          <w:rFonts w:ascii="Times New Roman" w:hAnsi="Times New Roman"/>
          <w:sz w:val="22"/>
        </w:rPr>
        <w:t>Generates ticket tokens (e.g. TKT-8219) and delivers student concerns to coordinator resolution queues with complete identity protection.</w:t>
      </w:r>
    </w:p>
    <w:p>
      <w:pPr>
        <w:keepNext/>
        <w:spacing w:before="240" w:after="120"/>
      </w:pPr>
      <w:r>
        <w:rPr>
          <w:rFonts w:ascii="Times New Roman" w:hAnsi="Times New Roman"/>
          <w:b/>
          <w:color w:val="1E3A8A"/>
          <w:sz w:val="26"/>
        </w:rPr>
        <w:t>5.3 User Interface Solution: Dashboard Analytics &amp; Ergonomics</w:t>
      </w:r>
    </w:p>
    <w:p>
      <w:pPr>
        <w:spacing w:after="120" w:line="360" w:lineRule="auto"/>
        <w:jc w:val="both"/>
      </w:pPr>
      <w:r>
        <w:rPr>
          <w:rFonts w:ascii="Times New Roman" w:hAnsi="Times New Roman"/>
          <w:sz w:val="22"/>
        </w:rPr>
        <w:t>The user interface utilizes high-contrast color coding to instantly signal drive urgency (Red: Closing in 24 hours; Amber: 3 days remaining; Green: Open) and clear typographic hierarchy for easy readability.</w:t>
      </w:r>
    </w:p>
    <w:p>
      <w:pPr>
        <w:keepNext/>
        <w:spacing w:before="240" w:after="120"/>
      </w:pPr>
      <w:r>
        <w:rPr>
          <w:rFonts w:ascii="Times New Roman" w:hAnsi="Times New Roman"/>
          <w:b/>
          <w:color w:val="1E3A8A"/>
          <w:sz w:val="26"/>
        </w:rPr>
        <w:t>5.4 Screenshots of Developed Solution</w:t>
      </w:r>
    </w:p>
    <w:p>
      <w:pPr>
        <w:spacing w:after="120" w:line="360" w:lineRule="auto"/>
        <w:jc w:val="both"/>
      </w:pPr>
      <w:r>
        <w:rPr>
          <w:rFonts w:ascii="Times New Roman" w:hAnsi="Times New Roman"/>
          <w:sz w:val="22"/>
        </w:rPr>
        <w:t>Visual screens of the developed platform are documented in the placeholders below:</w:t>
      </w: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FIGURE 5.1: STUDENT PROFILE &amp; EXPLAINABLE SKILL MATCH BREAKDOWN ---</w:t>
              <w:br/>
              <w:br/>
            </w:r>
            <w:r>
              <w:rPr>
                <w:rFonts w:ascii="Times New Roman" w:hAnsi="Times New Roman"/>
                <w:b/>
                <w:i/>
                <w:color w:val="B91C1C"/>
                <w:sz w:val="24"/>
              </w:rPr>
              <w:t>[(add picture)]</w:t>
              <w:br/>
              <w:br/>
            </w:r>
            <w:r>
              <w:rPr>
                <w:rFonts w:ascii="Times New Roman" w:hAnsi="Times New Roman"/>
                <w:i/>
                <w:color w:val="475569"/>
                <w:sz w:val="20"/>
              </w:rPr>
              <w:t>Screenshot showing candidate academic parameters, opportunity circulars, and the plain-English matched vs missing technical skill breakdown.</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FIGURE 5.2: PLACEMENT COORDINATOR REAL-TIME COMMAND DESK ---</w:t>
              <w:br/>
              <w:br/>
            </w:r>
            <w:r>
              <w:rPr>
                <w:rFonts w:ascii="Times New Roman" w:hAnsi="Times New Roman"/>
                <w:b/>
                <w:i/>
                <w:color w:val="B91C1C"/>
                <w:sz w:val="24"/>
              </w:rPr>
              <w:t>[(add picture)]</w:t>
              <w:br/>
              <w:br/>
            </w:r>
            <w:r>
              <w:rPr>
                <w:rFonts w:ascii="Times New Roman" w:hAnsi="Times New Roman"/>
                <w:i/>
                <w:color w:val="475569"/>
                <w:sz w:val="20"/>
              </w:rPr>
              <w:t>Screenshot showing the coordinator interface for reviewing applications by department, updating selection stages, and dispatching constructive feedback.</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FIGURE 5.3: WORKSHOP CLINIC QUOTA &amp; ENROLLMENT MANAGEMENT ---</w:t>
              <w:br/>
              <w:br/>
            </w:r>
            <w:r>
              <w:rPr>
                <w:rFonts w:ascii="Times New Roman" w:hAnsi="Times New Roman"/>
                <w:b/>
                <w:i/>
                <w:color w:val="B91C1C"/>
                <w:sz w:val="24"/>
              </w:rPr>
              <w:t>[(add picture)]</w:t>
              <w:br/>
              <w:br/>
            </w:r>
            <w:r>
              <w:rPr>
                <w:rFonts w:ascii="Times New Roman" w:hAnsi="Times New Roman"/>
                <w:i/>
                <w:color w:val="475569"/>
                <w:sz w:val="20"/>
              </w:rPr>
              <w:t>Screenshot showing the practical workshop catalog, syllabus preview, real-time seat availability counter, and one-click enrollment confirmation.</w:t>
            </w:r>
          </w:p>
        </w:tc>
      </w:tr>
    </w:tbl>
    <w:p>
      <w:pPr>
        <w:spacing w:after="80"/>
      </w:pPr>
    </w:p>
    <w:p>
      <w:r>
        <w:br w:type="page"/>
      </w:r>
    </w:p>
    <w:p>
      <w:pPr>
        <w:keepNext/>
        <w:spacing w:before="360" w:after="160"/>
      </w:pPr>
      <w:r>
        <w:rPr>
          <w:rFonts w:ascii="Times New Roman" w:hAnsi="Times New Roman"/>
          <w:b/>
          <w:color w:val="0F172A"/>
          <w:sz w:val="32"/>
        </w:rPr>
        <w:t>CHAPTER 6: TESTING AND VALIDATION</w:t>
      </w:r>
    </w:p>
    <w:p>
      <w:pPr>
        <w:keepNext/>
        <w:spacing w:before="240" w:after="120"/>
      </w:pPr>
      <w:r>
        <w:rPr>
          <w:rFonts w:ascii="Times New Roman" w:hAnsi="Times New Roman"/>
          <w:b/>
          <w:color w:val="1E3A8A"/>
          <w:sz w:val="26"/>
        </w:rPr>
        <w:t>6.1 Test Scenarios: Usability Task Benchmarks</w:t>
      </w:r>
    </w:p>
    <w:p>
      <w:pPr>
        <w:spacing w:after="120" w:line="360" w:lineRule="auto"/>
        <w:jc w:val="both"/>
      </w:pPr>
      <w:r>
        <w:rPr>
          <w:rFonts w:ascii="Times New Roman" w:hAnsi="Times New Roman"/>
          <w:sz w:val="22"/>
        </w:rPr>
        <w:t>During Visits 2 and 3 at Khalsa College, we tested four core technical scenarios with student participants:</w:t>
      </w:r>
    </w:p>
    <w:p>
      <w:pPr>
        <w:pStyle w:val="ListBullet"/>
        <w:spacing w:after="80" w:line="312" w:lineRule="auto"/>
        <w:jc w:val="both"/>
      </w:pPr>
      <w:r>
        <w:rPr>
          <w:rFonts w:ascii="Times New Roman" w:hAnsi="Times New Roman"/>
          <w:b/>
          <w:sz w:val="22"/>
        </w:rPr>
        <w:t xml:space="preserve">Scenario TSK-01 (Domain Filtering): </w:t>
      </w:r>
      <w:r>
        <w:rPr>
          <w:rFonts w:ascii="Times New Roman" w:hAnsi="Times New Roman"/>
          <w:sz w:val="22"/>
        </w:rPr>
        <w:t>Filter circulars for specific roles (Software Engineer, Full-Stack Developer) across CS and IT domains.</w:t>
      </w:r>
    </w:p>
    <w:p>
      <w:pPr>
        <w:pStyle w:val="ListBullet"/>
        <w:spacing w:after="80" w:line="312" w:lineRule="auto"/>
        <w:jc w:val="both"/>
      </w:pPr>
      <w:r>
        <w:rPr>
          <w:rFonts w:ascii="Times New Roman" w:hAnsi="Times New Roman"/>
          <w:b/>
          <w:sz w:val="22"/>
        </w:rPr>
        <w:t xml:space="preserve">Scenario TSK-02 (Match Evaluation): </w:t>
      </w:r>
      <w:r>
        <w:rPr>
          <w:rFonts w:ascii="Times New Roman" w:hAnsi="Times New Roman"/>
          <w:sz w:val="22"/>
        </w:rPr>
        <w:t>Examine a circular to understand why a specific match score was awarded based on skill overlap.</w:t>
      </w:r>
    </w:p>
    <w:p>
      <w:pPr>
        <w:pStyle w:val="ListBullet"/>
        <w:spacing w:after="80" w:line="312" w:lineRule="auto"/>
        <w:jc w:val="both"/>
      </w:pPr>
      <w:r>
        <w:rPr>
          <w:rFonts w:ascii="Times New Roman" w:hAnsi="Times New Roman"/>
          <w:b/>
          <w:sz w:val="22"/>
        </w:rPr>
        <w:t xml:space="preserve">Scenario TSK-03 (Clinic Reservation): </w:t>
      </w:r>
      <w:r>
        <w:rPr>
          <w:rFonts w:ascii="Times New Roman" w:hAnsi="Times New Roman"/>
          <w:sz w:val="22"/>
        </w:rPr>
        <w:t>Browse the workshop catalog and reserve a seat in the Advanced DSA &amp; Coding Clinic.</w:t>
      </w:r>
    </w:p>
    <w:p>
      <w:pPr>
        <w:pStyle w:val="ListBullet"/>
        <w:spacing w:after="80" w:line="312" w:lineRule="auto"/>
        <w:jc w:val="both"/>
      </w:pPr>
      <w:r>
        <w:rPr>
          <w:rFonts w:ascii="Times New Roman" w:hAnsi="Times New Roman"/>
          <w:b/>
          <w:sz w:val="22"/>
        </w:rPr>
        <w:t xml:space="preserve">Scenario TSK-04 (Grievance Reporting): </w:t>
      </w:r>
      <w:r>
        <w:rPr>
          <w:rFonts w:ascii="Times New Roman" w:hAnsi="Times New Roman"/>
          <w:sz w:val="22"/>
        </w:rPr>
        <w:t>Submit an anonymous grievance regarding a 12-hour assessment notice and record the tracking ticket.</w:t>
      </w:r>
    </w:p>
    <w:p>
      <w:pPr>
        <w:keepNext/>
        <w:spacing w:before="240" w:after="120"/>
      </w:pPr>
      <w:r>
        <w:rPr>
          <w:rFonts w:ascii="Times New Roman" w:hAnsi="Times New Roman"/>
          <w:b/>
          <w:color w:val="1E3A8A"/>
          <w:sz w:val="26"/>
        </w:rPr>
        <w:t>6.2 Test Results Across Field Visits (Visit 2 vs Visit 3)</w:t>
      </w:r>
    </w:p>
    <w:p>
      <w:pPr>
        <w:spacing w:after="120" w:line="360" w:lineRule="auto"/>
        <w:jc w:val="both"/>
      </w:pPr>
      <w:r>
        <w:rPr>
          <w:rFonts w:ascii="Times New Roman" w:hAnsi="Times New Roman"/>
          <w:sz w:val="22"/>
        </w:rPr>
        <w:t>Usability metrics recorded across our visits demonstrate marked efficiency gains following iterative refinement:</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shd w:fill="1E3A8A"/>
            <w:tcMar>
              <w:top w:w="120" w:type="dxa"/>
              <w:bottom w:w="120" w:type="dxa"/>
              <w:left w:w="150" w:type="dxa"/>
              <w:right w:w="150" w:type="dxa"/>
            </w:tcMar>
          </w:tcPr>
          <w:p>
            <w:pPr>
              <w:jc w:val="center"/>
            </w:pPr>
            <w:r>
              <w:rPr>
                <w:rFonts w:ascii="Times New Roman" w:hAnsi="Times New Roman"/>
                <w:b/>
                <w:color w:val="FFFFFF"/>
                <w:sz w:val="21"/>
              </w:rPr>
              <w:t>Scenario ID &amp; Description</w:t>
            </w:r>
          </w:p>
        </w:tc>
        <w:tc>
          <w:tcPr>
            <w:tcW w:type="dxa" w:w="1806"/>
            <w:shd w:fill="1E3A8A"/>
            <w:tcMar>
              <w:top w:w="120" w:type="dxa"/>
              <w:bottom w:w="120" w:type="dxa"/>
              <w:left w:w="150" w:type="dxa"/>
              <w:right w:w="150" w:type="dxa"/>
            </w:tcMar>
          </w:tcPr>
          <w:p>
            <w:pPr>
              <w:jc w:val="center"/>
            </w:pPr>
            <w:r>
              <w:rPr>
                <w:rFonts w:ascii="Times New Roman" w:hAnsi="Times New Roman"/>
                <w:b/>
                <w:color w:val="FFFFFF"/>
                <w:sz w:val="21"/>
              </w:rPr>
              <w:t>Visit 2 Rate (N=32)</w:t>
            </w:r>
          </w:p>
        </w:tc>
        <w:tc>
          <w:tcPr>
            <w:tcW w:type="dxa" w:w="1806"/>
            <w:shd w:fill="1E3A8A"/>
            <w:tcMar>
              <w:top w:w="120" w:type="dxa"/>
              <w:bottom w:w="120" w:type="dxa"/>
              <w:left w:w="150" w:type="dxa"/>
              <w:right w:w="150" w:type="dxa"/>
            </w:tcMar>
          </w:tcPr>
          <w:p>
            <w:pPr>
              <w:jc w:val="center"/>
            </w:pPr>
            <w:r>
              <w:rPr>
                <w:rFonts w:ascii="Times New Roman" w:hAnsi="Times New Roman"/>
                <w:b/>
                <w:color w:val="FFFFFF"/>
                <w:sz w:val="21"/>
              </w:rPr>
              <w:t>Visit 2 Bottlenecks</w:t>
            </w:r>
          </w:p>
        </w:tc>
        <w:tc>
          <w:tcPr>
            <w:tcW w:type="dxa" w:w="1806"/>
            <w:shd w:fill="1E3A8A"/>
            <w:tcMar>
              <w:top w:w="120" w:type="dxa"/>
              <w:bottom w:w="120" w:type="dxa"/>
              <w:left w:w="150" w:type="dxa"/>
              <w:right w:w="150" w:type="dxa"/>
            </w:tcMar>
          </w:tcPr>
          <w:p>
            <w:pPr>
              <w:jc w:val="center"/>
            </w:pPr>
            <w:r>
              <w:rPr>
                <w:rFonts w:ascii="Times New Roman" w:hAnsi="Times New Roman"/>
                <w:b/>
                <w:color w:val="FFFFFF"/>
                <w:sz w:val="21"/>
              </w:rPr>
              <w:t>Visit 3 Rate (N=40)</w:t>
            </w:r>
          </w:p>
        </w:tc>
        <w:tc>
          <w:tcPr>
            <w:tcW w:type="dxa" w:w="1806"/>
            <w:shd w:fill="1E3A8A"/>
            <w:tcMar>
              <w:top w:w="120" w:type="dxa"/>
              <w:bottom w:w="120" w:type="dxa"/>
              <w:left w:w="150" w:type="dxa"/>
              <w:right w:w="150" w:type="dxa"/>
            </w:tcMar>
          </w:tcPr>
          <w:p>
            <w:pPr>
              <w:jc w:val="center"/>
            </w:pPr>
            <w:r>
              <w:rPr>
                <w:rFonts w:ascii="Times New Roman" w:hAnsi="Times New Roman"/>
                <w:b/>
                <w:color w:val="FFFFFF"/>
                <w:sz w:val="21"/>
              </w:rPr>
              <w:t>Visit 3 Bottlenecks</w:t>
            </w:r>
          </w:p>
        </w:tc>
      </w:tr>
      <w:tr>
        <w:tc>
          <w:tcPr>
            <w:tcW w:type="dxa" w:w="1806"/>
            <w:shd w:fill="FFFFFF"/>
            <w:tcMar>
              <w:top w:w="100" w:type="dxa"/>
              <w:bottom w:w="100" w:type="dxa"/>
              <w:left w:w="150" w:type="dxa"/>
              <w:right w:w="150" w:type="dxa"/>
            </w:tcMar>
          </w:tcPr>
          <w:p>
            <w:pPr>
              <w:jc w:val="center"/>
            </w:pPr>
            <w:r>
              <w:rPr>
                <w:rFonts w:ascii="Times New Roman" w:hAnsi="Times New Roman"/>
                <w:color w:val="0F172A"/>
                <w:sz w:val="20"/>
              </w:rPr>
              <w:t>TSK-01: Circular Filtering</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93.8% (30/32)</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Requested remote filter pills.</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100.0% (40/40)</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Zero errors observed.</w:t>
            </w:r>
          </w:p>
        </w:tc>
      </w:tr>
      <w:tr>
        <w:tc>
          <w:tcPr>
            <w:tcW w:type="dxa" w:w="1806"/>
            <w:shd w:fill="F8FAFC"/>
            <w:tcMar>
              <w:top w:w="100" w:type="dxa"/>
              <w:bottom w:w="100" w:type="dxa"/>
              <w:left w:w="150" w:type="dxa"/>
              <w:right w:w="150" w:type="dxa"/>
            </w:tcMar>
          </w:tcPr>
          <w:p>
            <w:pPr>
              <w:jc w:val="center"/>
            </w:pPr>
            <w:r>
              <w:rPr>
                <w:rFonts w:ascii="Times New Roman" w:hAnsi="Times New Roman"/>
                <w:color w:val="0F172A"/>
                <w:sz w:val="20"/>
              </w:rPr>
              <w:t>TSK-02: Match Breakdown</w:t>
            </w:r>
          </w:p>
        </w:tc>
        <w:tc>
          <w:tcPr>
            <w:tcW w:type="dxa" w:w="1806"/>
            <w:shd w:fill="F8FAFC"/>
            <w:tcMar>
              <w:top w:w="100" w:type="dxa"/>
              <w:bottom w:w="100" w:type="dxa"/>
              <w:left w:w="150" w:type="dxa"/>
              <w:right w:w="150" w:type="dxa"/>
            </w:tcMar>
          </w:tcPr>
          <w:p>
            <w:pPr>
              <w:jc w:val="left"/>
            </w:pPr>
            <w:r>
              <w:rPr>
                <w:rFonts w:ascii="Times New Roman" w:hAnsi="Times New Roman"/>
                <w:color w:val="0F172A"/>
                <w:sz w:val="20"/>
              </w:rPr>
              <w:t>81.3% (26/32)</w:t>
            </w:r>
          </w:p>
        </w:tc>
        <w:tc>
          <w:tcPr>
            <w:tcW w:type="dxa" w:w="1806"/>
            <w:shd w:fill="F8FAFC"/>
            <w:tcMar>
              <w:top w:w="100" w:type="dxa"/>
              <w:bottom w:w="100" w:type="dxa"/>
              <w:left w:w="150" w:type="dxa"/>
              <w:right w:w="150" w:type="dxa"/>
            </w:tcMar>
          </w:tcPr>
          <w:p>
            <w:pPr>
              <w:jc w:val="left"/>
            </w:pPr>
            <w:r>
              <w:rPr>
                <w:rFonts w:ascii="Times New Roman" w:hAnsi="Times New Roman"/>
                <w:color w:val="0F172A"/>
                <w:sz w:val="20"/>
              </w:rPr>
              <w:t>Hesitation on percentage score.</w:t>
            </w:r>
          </w:p>
        </w:tc>
        <w:tc>
          <w:tcPr>
            <w:tcW w:type="dxa" w:w="1806"/>
            <w:shd w:fill="F8FAFC"/>
            <w:tcMar>
              <w:top w:w="100" w:type="dxa"/>
              <w:bottom w:w="100" w:type="dxa"/>
              <w:left w:w="150" w:type="dxa"/>
              <w:right w:w="150" w:type="dxa"/>
            </w:tcMar>
          </w:tcPr>
          <w:p>
            <w:pPr>
              <w:jc w:val="left"/>
            </w:pPr>
            <w:r>
              <w:rPr>
                <w:rFonts w:ascii="Times New Roman" w:hAnsi="Times New Roman"/>
                <w:color w:val="0F172A"/>
                <w:sz w:val="20"/>
              </w:rPr>
              <w:t>97.5% (39/40)</w:t>
            </w:r>
          </w:p>
        </w:tc>
        <w:tc>
          <w:tcPr>
            <w:tcW w:type="dxa" w:w="1806"/>
            <w:shd w:fill="F8FAFC"/>
            <w:tcMar>
              <w:top w:w="100" w:type="dxa"/>
              <w:bottom w:w="100" w:type="dxa"/>
              <w:left w:w="150" w:type="dxa"/>
              <w:right w:w="150" w:type="dxa"/>
            </w:tcMar>
          </w:tcPr>
          <w:p>
            <w:pPr>
              <w:jc w:val="left"/>
            </w:pPr>
            <w:r>
              <w:rPr>
                <w:rFonts w:ascii="Times New Roman" w:hAnsi="Times New Roman"/>
                <w:color w:val="0F172A"/>
                <w:sz w:val="20"/>
              </w:rPr>
              <w:t>Itemized list resolved doubts.</w:t>
            </w:r>
          </w:p>
        </w:tc>
      </w:tr>
      <w:tr>
        <w:tc>
          <w:tcPr>
            <w:tcW w:type="dxa" w:w="1806"/>
            <w:shd w:fill="FFFFFF"/>
            <w:tcMar>
              <w:top w:w="100" w:type="dxa"/>
              <w:bottom w:w="100" w:type="dxa"/>
              <w:left w:w="150" w:type="dxa"/>
              <w:right w:w="150" w:type="dxa"/>
            </w:tcMar>
          </w:tcPr>
          <w:p>
            <w:pPr>
              <w:jc w:val="center"/>
            </w:pPr>
            <w:r>
              <w:rPr>
                <w:rFonts w:ascii="Times New Roman" w:hAnsi="Times New Roman"/>
                <w:color w:val="0F172A"/>
                <w:sz w:val="20"/>
              </w:rPr>
              <w:t>TSK-03: Workshop Reservation</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100.0% (32/32)</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Smooth, fast enrollment.</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100.0% (40/40)</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Instant seat confirmation.</w:t>
            </w:r>
          </w:p>
        </w:tc>
      </w:tr>
      <w:tr>
        <w:tc>
          <w:tcPr>
            <w:tcW w:type="dxa" w:w="1806"/>
            <w:shd w:fill="F8FAFC"/>
            <w:tcMar>
              <w:top w:w="100" w:type="dxa"/>
              <w:bottom w:w="100" w:type="dxa"/>
              <w:left w:w="150" w:type="dxa"/>
              <w:right w:w="150" w:type="dxa"/>
            </w:tcMar>
          </w:tcPr>
          <w:p>
            <w:pPr>
              <w:jc w:val="center"/>
            </w:pPr>
            <w:r>
              <w:rPr>
                <w:rFonts w:ascii="Times New Roman" w:hAnsi="Times New Roman"/>
                <w:color w:val="0F172A"/>
                <w:sz w:val="20"/>
              </w:rPr>
              <w:t>TSK-04: Anonymous Grievance</w:t>
            </w:r>
          </w:p>
        </w:tc>
        <w:tc>
          <w:tcPr>
            <w:tcW w:type="dxa" w:w="1806"/>
            <w:shd w:fill="F8FAFC"/>
            <w:tcMar>
              <w:top w:w="100" w:type="dxa"/>
              <w:bottom w:w="100" w:type="dxa"/>
              <w:left w:w="150" w:type="dxa"/>
              <w:right w:w="150" w:type="dxa"/>
            </w:tcMar>
          </w:tcPr>
          <w:p>
            <w:pPr>
              <w:jc w:val="left"/>
            </w:pPr>
            <w:r>
              <w:rPr>
                <w:rFonts w:ascii="Times New Roman" w:hAnsi="Times New Roman"/>
                <w:color w:val="0F172A"/>
                <w:sz w:val="20"/>
              </w:rPr>
              <w:t>90.6% (29/32)</w:t>
            </w:r>
          </w:p>
        </w:tc>
        <w:tc>
          <w:tcPr>
            <w:tcW w:type="dxa" w:w="1806"/>
            <w:shd w:fill="F8FAFC"/>
            <w:tcMar>
              <w:top w:w="100" w:type="dxa"/>
              <w:bottom w:w="100" w:type="dxa"/>
              <w:left w:w="150" w:type="dxa"/>
              <w:right w:w="150" w:type="dxa"/>
            </w:tcMar>
          </w:tcPr>
          <w:p>
            <w:pPr>
              <w:jc w:val="left"/>
            </w:pPr>
            <w:r>
              <w:rPr>
                <w:rFonts w:ascii="Times New Roman" w:hAnsi="Times New Roman"/>
                <w:color w:val="0F172A"/>
                <w:sz w:val="20"/>
              </w:rPr>
              <w:t>Checked if roll number was sent.</w:t>
            </w:r>
          </w:p>
        </w:tc>
        <w:tc>
          <w:tcPr>
            <w:tcW w:type="dxa" w:w="1806"/>
            <w:shd w:fill="F8FAFC"/>
            <w:tcMar>
              <w:top w:w="100" w:type="dxa"/>
              <w:bottom w:w="100" w:type="dxa"/>
              <w:left w:w="150" w:type="dxa"/>
              <w:right w:w="150" w:type="dxa"/>
            </w:tcMar>
          </w:tcPr>
          <w:p>
            <w:pPr>
              <w:jc w:val="left"/>
            </w:pPr>
            <w:r>
              <w:rPr>
                <w:rFonts w:ascii="Times New Roman" w:hAnsi="Times New Roman"/>
                <w:color w:val="0F172A"/>
                <w:sz w:val="20"/>
              </w:rPr>
              <w:t>97.5% (39/40)</w:t>
            </w:r>
          </w:p>
        </w:tc>
        <w:tc>
          <w:tcPr>
            <w:tcW w:type="dxa" w:w="1806"/>
            <w:shd w:fill="F8FAFC"/>
            <w:tcMar>
              <w:top w:w="100" w:type="dxa"/>
              <w:bottom w:w="100" w:type="dxa"/>
              <w:left w:w="150" w:type="dxa"/>
              <w:right w:w="150" w:type="dxa"/>
            </w:tcMar>
          </w:tcPr>
          <w:p>
            <w:pPr>
              <w:jc w:val="left"/>
            </w:pPr>
            <w:r>
              <w:rPr>
                <w:rFonts w:ascii="Times New Roman" w:hAnsi="Times New Roman"/>
                <w:color w:val="0F172A"/>
                <w:sz w:val="20"/>
              </w:rPr>
              <w:t>High confidence from ticket tokens.</w:t>
            </w:r>
          </w:p>
        </w:tc>
      </w:tr>
      <w:tr>
        <w:tc>
          <w:tcPr>
            <w:tcW w:type="dxa" w:w="1806"/>
            <w:shd w:fill="FFFFFF"/>
            <w:tcMar>
              <w:top w:w="100" w:type="dxa"/>
              <w:bottom w:w="100" w:type="dxa"/>
              <w:left w:w="150" w:type="dxa"/>
              <w:right w:w="150" w:type="dxa"/>
            </w:tcMar>
          </w:tcPr>
          <w:p>
            <w:pPr>
              <w:jc w:val="center"/>
            </w:pPr>
            <w:r>
              <w:rPr>
                <w:rFonts w:ascii="Times New Roman" w:hAnsi="Times New Roman"/>
                <w:color w:val="0F172A"/>
                <w:sz w:val="20"/>
              </w:rPr>
              <w:t>Cumulative Average</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87.5%</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Initial confusion on match logic.</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97.5%</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High student trust and accuracy.</w:t>
            </w:r>
          </w:p>
        </w:tc>
      </w:tr>
    </w:tbl>
    <w:p>
      <w:pPr>
        <w:spacing w:after="120"/>
      </w:pPr>
    </w:p>
    <w:p>
      <w:pPr>
        <w:keepNext/>
        <w:spacing w:before="240" w:after="120"/>
      </w:pPr>
      <w:r>
        <w:rPr>
          <w:rFonts w:ascii="Times New Roman" w:hAnsi="Times New Roman"/>
          <w:b/>
          <w:color w:val="1E3A8A"/>
          <w:sz w:val="26"/>
        </w:rPr>
        <w:t>6.3 User Acceptance Testing at Khalsa College</w:t>
      </w:r>
    </w:p>
    <w:p>
      <w:pPr>
        <w:spacing w:after="120" w:line="360" w:lineRule="auto"/>
        <w:jc w:val="both"/>
      </w:pPr>
      <w:r>
        <w:rPr>
          <w:rFonts w:ascii="Times New Roman" w:hAnsi="Times New Roman"/>
          <w:sz w:val="22"/>
        </w:rPr>
        <w:t>User Acceptance Testing conducted in Seminar Hall 2 during Visit 3 demonstrated overwhelming student and faculty endorsement. Coordinators confirmed that the centralized circular board and transparent criteria would drastically reduce duplicate student inquiries.</w:t>
      </w:r>
    </w:p>
    <w:p>
      <w:pPr>
        <w:keepNext/>
        <w:spacing w:before="240" w:after="120"/>
      </w:pPr>
      <w:r>
        <w:rPr>
          <w:rFonts w:ascii="Times New Roman" w:hAnsi="Times New Roman"/>
          <w:b/>
          <w:color w:val="1E3A8A"/>
          <w:sz w:val="26"/>
        </w:rPr>
        <w:t>6.4 Statistical Feedback Analysis &amp; System Tuning</w:t>
      </w:r>
    </w:p>
    <w:p>
      <w:pPr>
        <w:pStyle w:val="ListBullet"/>
        <w:spacing w:after="80" w:line="312" w:lineRule="auto"/>
        <w:jc w:val="both"/>
      </w:pPr>
      <w:r>
        <w:rPr>
          <w:rFonts w:ascii="Times New Roman" w:hAnsi="Times New Roman"/>
          <w:b/>
          <w:sz w:val="22"/>
        </w:rPr>
        <w:t xml:space="preserve">Itemized Skill Reasons: </w:t>
      </w:r>
      <w:r>
        <w:rPr>
          <w:rFonts w:ascii="Times New Roman" w:hAnsi="Times New Roman"/>
          <w:sz w:val="22"/>
        </w:rPr>
        <w:t>Replaced numeric match scores with explicit lists of matching and missing skills ('Matched: Python, SQL; Missing: Docker').</w:t>
      </w:r>
    </w:p>
    <w:p>
      <w:pPr>
        <w:pStyle w:val="ListBullet"/>
        <w:spacing w:after="80" w:line="312" w:lineRule="auto"/>
        <w:jc w:val="both"/>
      </w:pPr>
      <w:r>
        <w:rPr>
          <w:rFonts w:ascii="Times New Roman" w:hAnsi="Times New Roman"/>
          <w:b/>
          <w:sz w:val="22"/>
        </w:rPr>
        <w:t xml:space="preserve">Urgent Deadline Indicators: </w:t>
      </w:r>
      <w:r>
        <w:rPr>
          <w:rFonts w:ascii="Times New Roman" w:hAnsi="Times New Roman"/>
          <w:sz w:val="22"/>
        </w:rPr>
        <w:t>Introduced high-visibility countdown badges ('Closing in 14h') to alert candidates to impending deadlines.</w:t>
      </w:r>
    </w:p>
    <w:p>
      <w:pPr>
        <w:keepNext/>
        <w:spacing w:before="240" w:after="120"/>
      </w:pPr>
      <w:r>
        <w:rPr>
          <w:rFonts w:ascii="Times New Roman" w:hAnsi="Times New Roman"/>
          <w:b/>
          <w:color w:val="1E3A8A"/>
          <w:sz w:val="26"/>
        </w:rPr>
        <w:t>6.5 Performance &amp; Latency Benchmarks</w:t>
      </w:r>
    </w:p>
    <w:p>
      <w:pPr>
        <w:spacing w:after="120" w:line="360" w:lineRule="auto"/>
        <w:jc w:val="both"/>
      </w:pPr>
      <w:r>
        <w:rPr>
          <w:rFonts w:ascii="Times New Roman" w:hAnsi="Times New Roman"/>
          <w:sz w:val="22"/>
        </w:rPr>
        <w:t>Skill Bridge replaces an average notice delay of 36 hours with instant digital circular distribution. Workshop seat reservations execute in under 2 seconds, eliminating spreadsheet overwrites.</w:t>
      </w:r>
    </w:p>
    <w:p>
      <w:r>
        <w:br w:type="page"/>
      </w:r>
    </w:p>
    <w:p>
      <w:pPr>
        <w:keepNext/>
        <w:spacing w:before="360" w:after="160"/>
      </w:pPr>
      <w:r>
        <w:rPr>
          <w:rFonts w:ascii="Times New Roman" w:hAnsi="Times New Roman"/>
          <w:b/>
          <w:color w:val="0F172A"/>
          <w:sz w:val="32"/>
        </w:rPr>
        <w:t>CHAPTER 7: RESULTS AND IMPACT ASSESSMENT</w:t>
      </w:r>
    </w:p>
    <w:p>
      <w:pPr>
        <w:keepNext/>
        <w:spacing w:before="240" w:after="120"/>
      </w:pPr>
      <w:r>
        <w:rPr>
          <w:rFonts w:ascii="Times New Roman" w:hAnsi="Times New Roman"/>
          <w:b/>
          <w:color w:val="1E3A8A"/>
          <w:sz w:val="26"/>
        </w:rPr>
        <w:t>7.1 Deliverables Submitted</w:t>
      </w:r>
    </w:p>
    <w:p>
      <w:pPr>
        <w:pStyle w:val="ListBullet"/>
        <w:spacing w:after="80" w:line="312" w:lineRule="auto"/>
        <w:jc w:val="both"/>
      </w:pPr>
      <w:r>
        <w:rPr>
          <w:rFonts w:ascii="Times New Roman" w:hAnsi="Times New Roman"/>
          <w:b/>
          <w:sz w:val="22"/>
        </w:rPr>
        <w:t xml:space="preserve">Skill Bridge Web Portal: </w:t>
      </w:r>
      <w:r>
        <w:rPr>
          <w:rFonts w:ascii="Times New Roman" w:hAnsi="Times New Roman"/>
          <w:sz w:val="22"/>
        </w:rPr>
        <w:t>Fully implemented dual-desk platform for students and coordinators.</w:t>
      </w:r>
    </w:p>
    <w:p>
      <w:pPr>
        <w:pStyle w:val="ListBullet"/>
        <w:spacing w:after="80" w:line="312" w:lineRule="auto"/>
        <w:jc w:val="both"/>
      </w:pPr>
      <w:r>
        <w:rPr>
          <w:rFonts w:ascii="Times New Roman" w:hAnsi="Times New Roman"/>
          <w:b/>
          <w:sz w:val="22"/>
        </w:rPr>
        <w:t xml:space="preserve">Empirical Survey Dataset (N=200): </w:t>
      </w:r>
      <w:r>
        <w:rPr>
          <w:rFonts w:ascii="Times New Roman" w:hAnsi="Times New Roman"/>
          <w:sz w:val="22"/>
        </w:rPr>
        <w:t>Verified database capturing technical placement perceptions across 80 CS, 60 IT, and 60 DS students.</w:t>
      </w:r>
    </w:p>
    <w:p>
      <w:pPr>
        <w:pStyle w:val="ListBullet"/>
        <w:spacing w:after="80" w:line="312" w:lineRule="auto"/>
        <w:jc w:val="both"/>
      </w:pPr>
      <w:r>
        <w:rPr>
          <w:rFonts w:ascii="Times New Roman" w:hAnsi="Times New Roman"/>
          <w:b/>
          <w:sz w:val="22"/>
        </w:rPr>
        <w:t xml:space="preserve">6-Dimension Action Roadmap: </w:t>
      </w:r>
      <w:r>
        <w:rPr>
          <w:rFonts w:ascii="Times New Roman" w:hAnsi="Times New Roman"/>
          <w:sz w:val="22"/>
        </w:rPr>
        <w:t>Actionable institutional roadmap for curriculum alignment and practical clinics.</w:t>
      </w:r>
    </w:p>
    <w:p>
      <w:pPr>
        <w:pStyle w:val="ListBullet"/>
        <w:spacing w:after="80" w:line="312" w:lineRule="auto"/>
        <w:jc w:val="both"/>
      </w:pPr>
      <w:r>
        <w:rPr>
          <w:rFonts w:ascii="Times New Roman" w:hAnsi="Times New Roman"/>
          <w:b/>
          <w:sz w:val="22"/>
        </w:rPr>
        <w:t xml:space="preserve">Academic Project Documentation: </w:t>
      </w:r>
      <w:r>
        <w:rPr>
          <w:rFonts w:ascii="Times New Roman" w:hAnsi="Times New Roman"/>
          <w:sz w:val="22"/>
        </w:rPr>
        <w:t>Comprehensive reports detailing field methodologies, technical architectures, and findings.</w:t>
      </w:r>
    </w:p>
    <w:p>
      <w:pPr>
        <w:keepNext/>
        <w:spacing w:before="240" w:after="120"/>
      </w:pPr>
      <w:r>
        <w:rPr>
          <w:rFonts w:ascii="Times New Roman" w:hAnsi="Times New Roman"/>
          <w:b/>
          <w:color w:val="1E3A8A"/>
          <w:sz w:val="26"/>
        </w:rPr>
        <w:t>7.2 Results Achieved: The 200-Student Empirical Dataset</w:t>
      </w:r>
    </w:p>
    <w:p>
      <w:pPr>
        <w:spacing w:after="120" w:line="360" w:lineRule="auto"/>
        <w:jc w:val="both"/>
      </w:pPr>
      <w:r>
        <w:rPr>
          <w:rFonts w:ascii="Times New Roman" w:hAnsi="Times New Roman"/>
          <w:sz w:val="22"/>
        </w:rPr>
        <w:t>The statistical breakdown across the 200 surveyed students at Guru Nanak Khalsa College is summarized below:</w:t>
      </w:r>
    </w:p>
    <w:tbl>
      <w:tblPr>
        <w:tblW w:type="auto" w:w="0"/>
        <w:jc w:val="center"/>
        <w:tblLayout w:type="autofit"/>
        <w:tblLook w:firstColumn="1" w:firstRow="1" w:lastColumn="0" w:lastRow="0" w:noHBand="0" w:noVBand="1" w:val="04A0"/>
      </w:tblPr>
      <w:tblGrid>
        <w:gridCol w:w="3010"/>
        <w:gridCol w:w="3010"/>
        <w:gridCol w:w="3010"/>
      </w:tblGrid>
      <w:tr>
        <w:tc>
          <w:tcPr>
            <w:tcW w:type="dxa" w:w="3010"/>
            <w:shd w:fill="1E3A8A"/>
            <w:tcMar>
              <w:top w:w="120" w:type="dxa"/>
              <w:bottom w:w="120" w:type="dxa"/>
              <w:left w:w="150" w:type="dxa"/>
              <w:right w:w="150" w:type="dxa"/>
            </w:tcMar>
          </w:tcPr>
          <w:p>
            <w:pPr>
              <w:jc w:val="center"/>
            </w:pPr>
            <w:r>
              <w:rPr>
                <w:rFonts w:ascii="Times New Roman" w:hAnsi="Times New Roman"/>
                <w:b/>
                <w:color w:val="FFFFFF"/>
                <w:sz w:val="21"/>
              </w:rPr>
              <w:t>Survey Dimension</w:t>
            </w:r>
          </w:p>
        </w:tc>
        <w:tc>
          <w:tcPr>
            <w:tcW w:type="dxa" w:w="3010"/>
            <w:shd w:fill="1E3A8A"/>
            <w:tcMar>
              <w:top w:w="120" w:type="dxa"/>
              <w:bottom w:w="120" w:type="dxa"/>
              <w:left w:w="150" w:type="dxa"/>
              <w:right w:w="150" w:type="dxa"/>
            </w:tcMar>
          </w:tcPr>
          <w:p>
            <w:pPr>
              <w:jc w:val="center"/>
            </w:pPr>
            <w:r>
              <w:rPr>
                <w:rFonts w:ascii="Times New Roman" w:hAnsi="Times New Roman"/>
                <w:b/>
                <w:color w:val="FFFFFF"/>
                <w:sz w:val="21"/>
              </w:rPr>
              <w:t>Statistical Measure (N=200)</w:t>
            </w:r>
          </w:p>
        </w:tc>
        <w:tc>
          <w:tcPr>
            <w:tcW w:type="dxa" w:w="3010"/>
            <w:shd w:fill="1E3A8A"/>
            <w:tcMar>
              <w:top w:w="120" w:type="dxa"/>
              <w:bottom w:w="120" w:type="dxa"/>
              <w:left w:w="150" w:type="dxa"/>
              <w:right w:w="150" w:type="dxa"/>
            </w:tcMar>
          </w:tcPr>
          <w:p>
            <w:pPr>
              <w:jc w:val="center"/>
            </w:pPr>
            <w:r>
              <w:rPr>
                <w:rFonts w:ascii="Times New Roman" w:hAnsi="Times New Roman"/>
                <w:b/>
                <w:color w:val="FFFFFF"/>
                <w:sz w:val="21"/>
              </w:rPr>
              <w:t>Empirical Evidence &amp; Interpretation</w:t>
            </w:r>
          </w:p>
        </w:tc>
      </w:tr>
      <w:tr>
        <w:tc>
          <w:tcPr>
            <w:tcW w:type="dxa" w:w="3010"/>
            <w:shd w:fill="FFFFFF"/>
            <w:tcMar>
              <w:top w:w="100" w:type="dxa"/>
              <w:bottom w:w="100" w:type="dxa"/>
              <w:left w:w="150" w:type="dxa"/>
              <w:right w:w="150" w:type="dxa"/>
            </w:tcMar>
          </w:tcPr>
          <w:p>
            <w:pPr>
              <w:jc w:val="center"/>
            </w:pPr>
            <w:r>
              <w:rPr>
                <w:rFonts w:ascii="Times New Roman" w:hAnsi="Times New Roman"/>
                <w:color w:val="0F172A"/>
                <w:sz w:val="20"/>
              </w:rPr>
              <w:t>Department Distribution</w:t>
            </w:r>
          </w:p>
        </w:tc>
        <w:tc>
          <w:tcPr>
            <w:tcW w:type="dxa" w:w="3010"/>
            <w:shd w:fill="FFFFFF"/>
            <w:tcMar>
              <w:top w:w="100" w:type="dxa"/>
              <w:bottom w:w="100" w:type="dxa"/>
              <w:left w:w="150" w:type="dxa"/>
              <w:right w:w="150" w:type="dxa"/>
            </w:tcMar>
          </w:tcPr>
          <w:p>
            <w:pPr>
              <w:jc w:val="left"/>
            </w:pPr>
            <w:r>
              <w:rPr>
                <w:rFonts w:ascii="Times New Roman" w:hAnsi="Times New Roman"/>
                <w:color w:val="0F172A"/>
                <w:sz w:val="20"/>
              </w:rPr>
              <w:t>80 CS (40%), 60 IT (30%), 60 DS (30%)</w:t>
            </w:r>
          </w:p>
        </w:tc>
        <w:tc>
          <w:tcPr>
            <w:tcW w:type="dxa" w:w="3010"/>
            <w:shd w:fill="FFFFFF"/>
            <w:tcMar>
              <w:top w:w="100" w:type="dxa"/>
              <w:bottom w:w="100" w:type="dxa"/>
              <w:left w:w="150" w:type="dxa"/>
              <w:right w:w="150" w:type="dxa"/>
            </w:tcMar>
          </w:tcPr>
          <w:p>
            <w:pPr>
              <w:jc w:val="left"/>
            </w:pPr>
            <w:r>
              <w:rPr>
                <w:rFonts w:ascii="Times New Roman" w:hAnsi="Times New Roman"/>
                <w:color w:val="0F172A"/>
                <w:sz w:val="20"/>
              </w:rPr>
              <w:t>Balanced representation across key technical disciplines.</w:t>
            </w:r>
          </w:p>
        </w:tc>
      </w:tr>
      <w:tr>
        <w:tc>
          <w:tcPr>
            <w:tcW w:type="dxa" w:w="3010"/>
            <w:shd w:fill="F8FAFC"/>
            <w:tcMar>
              <w:top w:w="100" w:type="dxa"/>
              <w:bottom w:w="100" w:type="dxa"/>
              <w:left w:w="150" w:type="dxa"/>
              <w:right w:w="150" w:type="dxa"/>
            </w:tcMar>
          </w:tcPr>
          <w:p>
            <w:pPr>
              <w:jc w:val="center"/>
            </w:pPr>
            <w:r>
              <w:rPr>
                <w:rFonts w:ascii="Times New Roman" w:hAnsi="Times New Roman"/>
                <w:color w:val="0F172A"/>
                <w:sz w:val="20"/>
              </w:rPr>
              <w:t>Placement Needs Met</w:t>
            </w:r>
          </w:p>
        </w:tc>
        <w:tc>
          <w:tcPr>
            <w:tcW w:type="dxa" w:w="3010"/>
            <w:shd w:fill="F8FAFC"/>
            <w:tcMar>
              <w:top w:w="100" w:type="dxa"/>
              <w:bottom w:w="100" w:type="dxa"/>
              <w:left w:w="150" w:type="dxa"/>
              <w:right w:w="150" w:type="dxa"/>
            </w:tcMar>
          </w:tcPr>
          <w:p>
            <w:pPr>
              <w:jc w:val="left"/>
            </w:pPr>
            <w:r>
              <w:rPr>
                <w:rFonts w:ascii="Times New Roman" w:hAnsi="Times New Roman"/>
                <w:color w:val="0F172A"/>
                <w:sz w:val="20"/>
              </w:rPr>
              <w:t>18.5% Yes, 46.5% Partly, 26.0% No, 9.0% No exp.</w:t>
            </w:r>
          </w:p>
        </w:tc>
        <w:tc>
          <w:tcPr>
            <w:tcW w:type="dxa" w:w="3010"/>
            <w:shd w:fill="F8FAFC"/>
            <w:tcMar>
              <w:top w:w="100" w:type="dxa"/>
              <w:bottom w:w="100" w:type="dxa"/>
              <w:left w:w="150" w:type="dxa"/>
              <w:right w:w="150" w:type="dxa"/>
            </w:tcMar>
          </w:tcPr>
          <w:p>
            <w:pPr>
              <w:jc w:val="left"/>
            </w:pPr>
            <w:r>
              <w:rPr>
                <w:rFonts w:ascii="Times New Roman" w:hAnsi="Times New Roman"/>
                <w:color w:val="0F172A"/>
                <w:sz w:val="20"/>
              </w:rPr>
              <w:t>72.5% combined unmet or partly met career support need.</w:t>
            </w:r>
          </w:p>
        </w:tc>
      </w:tr>
      <w:tr>
        <w:tc>
          <w:tcPr>
            <w:tcW w:type="dxa" w:w="3010"/>
            <w:shd w:fill="FFFFFF"/>
            <w:tcMar>
              <w:top w:w="100" w:type="dxa"/>
              <w:bottom w:w="100" w:type="dxa"/>
              <w:left w:w="150" w:type="dxa"/>
              <w:right w:w="150" w:type="dxa"/>
            </w:tcMar>
          </w:tcPr>
          <w:p>
            <w:pPr>
              <w:jc w:val="center"/>
            </w:pPr>
            <w:r>
              <w:rPr>
                <w:rFonts w:ascii="Times New Roman" w:hAnsi="Times New Roman"/>
                <w:color w:val="0F172A"/>
                <w:sz w:val="20"/>
              </w:rPr>
              <w:t>Notice Timeliness</w:t>
            </w:r>
          </w:p>
        </w:tc>
        <w:tc>
          <w:tcPr>
            <w:tcW w:type="dxa" w:w="3010"/>
            <w:shd w:fill="FFFFFF"/>
            <w:tcMar>
              <w:top w:w="100" w:type="dxa"/>
              <w:bottom w:w="100" w:type="dxa"/>
              <w:left w:w="150" w:type="dxa"/>
              <w:right w:w="150" w:type="dxa"/>
            </w:tcMar>
          </w:tcPr>
          <w:p>
            <w:pPr>
              <w:jc w:val="left"/>
            </w:pPr>
            <w:r>
              <w:rPr>
                <w:rFonts w:ascii="Times New Roman" w:hAnsi="Times New Roman"/>
                <w:color w:val="0F172A"/>
                <w:sz w:val="20"/>
              </w:rPr>
              <w:t>61.0% Rarely / Sometimes early enough</w:t>
            </w:r>
          </w:p>
        </w:tc>
        <w:tc>
          <w:tcPr>
            <w:tcW w:type="dxa" w:w="3010"/>
            <w:shd w:fill="FFFFFF"/>
            <w:tcMar>
              <w:top w:w="100" w:type="dxa"/>
              <w:bottom w:w="100" w:type="dxa"/>
              <w:left w:w="150" w:type="dxa"/>
              <w:right w:w="150" w:type="dxa"/>
            </w:tcMar>
          </w:tcPr>
          <w:p>
            <w:pPr>
              <w:jc w:val="left"/>
            </w:pPr>
            <w:r>
              <w:rPr>
                <w:rFonts w:ascii="Times New Roman" w:hAnsi="Times New Roman"/>
                <w:color w:val="0F172A"/>
                <w:sz w:val="20"/>
              </w:rPr>
              <w:t>Critical communication bottleneck causing test scramble.</w:t>
            </w:r>
          </w:p>
        </w:tc>
      </w:tr>
      <w:tr>
        <w:tc>
          <w:tcPr>
            <w:tcW w:type="dxa" w:w="3010"/>
            <w:shd w:fill="F8FAFC"/>
            <w:tcMar>
              <w:top w:w="100" w:type="dxa"/>
              <w:bottom w:w="100" w:type="dxa"/>
              <w:left w:w="150" w:type="dxa"/>
              <w:right w:w="150" w:type="dxa"/>
            </w:tcMar>
          </w:tcPr>
          <w:p>
            <w:pPr>
              <w:jc w:val="center"/>
            </w:pPr>
            <w:r>
              <w:rPr>
                <w:rFonts w:ascii="Times New Roman" w:hAnsi="Times New Roman"/>
                <w:color w:val="0F172A"/>
                <w:sz w:val="20"/>
              </w:rPr>
              <w:t>Aptitude Support</w:t>
            </w:r>
          </w:p>
        </w:tc>
        <w:tc>
          <w:tcPr>
            <w:tcW w:type="dxa" w:w="3010"/>
            <w:shd w:fill="F8FAFC"/>
            <w:tcMar>
              <w:top w:w="100" w:type="dxa"/>
              <w:bottom w:w="100" w:type="dxa"/>
              <w:left w:w="150" w:type="dxa"/>
              <w:right w:w="150" w:type="dxa"/>
            </w:tcMar>
          </w:tcPr>
          <w:p>
            <w:pPr>
              <w:jc w:val="left"/>
            </w:pPr>
            <w:r>
              <w:rPr>
                <w:rFonts w:ascii="Times New Roman" w:hAnsi="Times New Roman"/>
                <w:color w:val="0F172A"/>
                <w:sz w:val="20"/>
              </w:rPr>
              <w:t>68.0% Not Useful / Irrelevant to tech rounds</w:t>
            </w:r>
          </w:p>
        </w:tc>
        <w:tc>
          <w:tcPr>
            <w:tcW w:type="dxa" w:w="3010"/>
            <w:shd w:fill="F8FAFC"/>
            <w:tcMar>
              <w:top w:w="100" w:type="dxa"/>
              <w:bottom w:w="100" w:type="dxa"/>
              <w:left w:w="150" w:type="dxa"/>
              <w:right w:w="150" w:type="dxa"/>
            </w:tcMar>
          </w:tcPr>
          <w:p>
            <w:pPr>
              <w:jc w:val="left"/>
            </w:pPr>
            <w:r>
              <w:rPr>
                <w:rFonts w:ascii="Times New Roman" w:hAnsi="Times New Roman"/>
                <w:color w:val="0F172A"/>
                <w:sz w:val="20"/>
              </w:rPr>
              <w:t>Proves necessity of hands-on coding clinics over math aptitude.</w:t>
            </w:r>
          </w:p>
        </w:tc>
      </w:tr>
      <w:tr>
        <w:tc>
          <w:tcPr>
            <w:tcW w:type="dxa" w:w="3010"/>
            <w:shd w:fill="FFFFFF"/>
            <w:tcMar>
              <w:top w:w="100" w:type="dxa"/>
              <w:bottom w:w="100" w:type="dxa"/>
              <w:left w:w="150" w:type="dxa"/>
              <w:right w:w="150" w:type="dxa"/>
            </w:tcMar>
          </w:tcPr>
          <w:p>
            <w:pPr>
              <w:jc w:val="center"/>
            </w:pPr>
            <w:r>
              <w:rPr>
                <w:rFonts w:ascii="Times New Roman" w:hAnsi="Times New Roman"/>
                <w:color w:val="0F172A"/>
                <w:sz w:val="20"/>
              </w:rPr>
              <w:t>Missed Test Deadlines</w:t>
            </w:r>
          </w:p>
        </w:tc>
        <w:tc>
          <w:tcPr>
            <w:tcW w:type="dxa" w:w="3010"/>
            <w:shd w:fill="FFFFFF"/>
            <w:tcMar>
              <w:top w:w="100" w:type="dxa"/>
              <w:bottom w:w="100" w:type="dxa"/>
              <w:left w:w="150" w:type="dxa"/>
              <w:right w:w="150" w:type="dxa"/>
            </w:tcMar>
          </w:tcPr>
          <w:p>
            <w:pPr>
              <w:jc w:val="left"/>
            </w:pPr>
            <w:r>
              <w:rPr>
                <w:rFonts w:ascii="Times New Roman" w:hAnsi="Times New Roman"/>
                <w:color w:val="0F172A"/>
                <w:sz w:val="20"/>
              </w:rPr>
              <w:t>71.0% report missing tests due to late info</w:t>
            </w:r>
          </w:p>
        </w:tc>
        <w:tc>
          <w:tcPr>
            <w:tcW w:type="dxa" w:w="3010"/>
            <w:shd w:fill="FFFFFF"/>
            <w:tcMar>
              <w:top w:w="100" w:type="dxa"/>
              <w:bottom w:w="100" w:type="dxa"/>
              <w:left w:w="150" w:type="dxa"/>
              <w:right w:w="150" w:type="dxa"/>
            </w:tcMar>
          </w:tcPr>
          <w:p>
            <w:pPr>
              <w:jc w:val="left"/>
            </w:pPr>
            <w:r>
              <w:rPr>
                <w:rFonts w:ascii="Times New Roman" w:hAnsi="Times New Roman"/>
                <w:color w:val="0F172A"/>
                <w:sz w:val="20"/>
              </w:rPr>
              <w:t>Direct outcome of 36-hour messaging forwarding lag.</w:t>
            </w:r>
          </w:p>
        </w:tc>
      </w:tr>
    </w:tbl>
    <w:p>
      <w:pPr>
        <w:spacing w:after="120"/>
      </w:pPr>
    </w:p>
    <w:p>
      <w:pPr>
        <w:keepNext/>
        <w:spacing w:before="240" w:after="120"/>
      </w:pPr>
      <w:r>
        <w:rPr>
          <w:rFonts w:ascii="Times New Roman" w:hAnsi="Times New Roman"/>
          <w:b/>
          <w:color w:val="1E3A8A"/>
          <w:sz w:val="26"/>
        </w:rPr>
        <w:t>7.3 Impact on Institutional Metric Tracking &amp; Career Outcomes</w:t>
      </w:r>
    </w:p>
    <w:p>
      <w:pPr>
        <w:spacing w:after="120" w:line="360" w:lineRule="auto"/>
        <w:jc w:val="both"/>
      </w:pPr>
      <w:r>
        <w:rPr>
          <w:rFonts w:ascii="Times New Roman" w:hAnsi="Times New Roman"/>
          <w:sz w:val="22"/>
        </w:rPr>
        <w:t>Skill Bridge establishes an auditable metric framework that empowers placement officers to track application throughput, identify struggling student cohorts, and allocate training resources effectively.</w:t>
      </w:r>
    </w:p>
    <w:p>
      <w:pPr>
        <w:keepNext/>
        <w:spacing w:before="240" w:after="120"/>
      </w:pPr>
      <w:r>
        <w:rPr>
          <w:rFonts w:ascii="Times New Roman" w:hAnsi="Times New Roman"/>
          <w:b/>
          <w:color w:val="1E3A8A"/>
          <w:sz w:val="26"/>
        </w:rPr>
        <w:t>7.4 SDG Contribution</w:t>
      </w:r>
    </w:p>
    <w:p>
      <w:pPr>
        <w:spacing w:after="120" w:line="360" w:lineRule="auto"/>
        <w:jc w:val="both"/>
      </w:pPr>
      <w:r>
        <w:rPr>
          <w:rFonts w:ascii="Times New Roman" w:hAnsi="Times New Roman"/>
          <w:sz w:val="22"/>
        </w:rPr>
        <w:t>Advances UN SDG 4 (Quality Education) through practical coding clinics, SDG 8 (Decent Work) by elevating technical employability, and SDG 10 (Reduced Inequalities) by providing transparent, merit-based career access.</w:t>
      </w:r>
    </w:p>
    <w:p>
      <w:r>
        <w:br w:type="page"/>
      </w:r>
    </w:p>
    <w:p>
      <w:pPr>
        <w:keepNext/>
        <w:spacing w:before="360" w:after="160"/>
      </w:pPr>
      <w:r>
        <w:rPr>
          <w:rFonts w:ascii="Times New Roman" w:hAnsi="Times New Roman"/>
          <w:b/>
          <w:color w:val="0F172A"/>
          <w:sz w:val="32"/>
        </w:rPr>
        <w:t>CHAPTER 8: CONCLUSION AND FUTURE SCOPE</w:t>
      </w:r>
    </w:p>
    <w:p>
      <w:pPr>
        <w:keepNext/>
        <w:spacing w:before="240" w:after="120"/>
      </w:pPr>
      <w:r>
        <w:rPr>
          <w:rFonts w:ascii="Times New Roman" w:hAnsi="Times New Roman"/>
          <w:b/>
          <w:color w:val="1E3A8A"/>
          <w:sz w:val="26"/>
        </w:rPr>
        <w:t>8.1 Conclusion</w:t>
      </w:r>
    </w:p>
    <w:p>
      <w:pPr>
        <w:spacing w:after="120" w:line="360" w:lineRule="auto"/>
        <w:jc w:val="both"/>
      </w:pPr>
      <w:r>
        <w:rPr>
          <w:rFonts w:ascii="Times New Roman" w:hAnsi="Times New Roman"/>
          <w:sz w:val="22"/>
        </w:rPr>
        <w:t>Data-driven decision making is fundamental to educational progress. Our Community Engagement Project at Guru Nanak Khalsa College, Matunga, proved that undergraduate placement distress is not an unsolvable mystery, but a quantified consequence of communication delays, generic training, and opaque selection criteria.</w:t>
      </w:r>
    </w:p>
    <w:p>
      <w:pPr>
        <w:spacing w:after="120" w:line="360" w:lineRule="auto"/>
        <w:jc w:val="both"/>
      </w:pPr>
      <w:r>
        <w:rPr>
          <w:rFonts w:ascii="Times New Roman" w:hAnsi="Times New Roman"/>
          <w:sz w:val="22"/>
        </w:rPr>
        <w:t>Through 200 primary survey responses and 3 field visits, we established that 72.5% of students require improved placement support. 'Skill Bridge' demonstrates that an integrated, metric-driven community portal can eliminate notice delays, clarify skill requirements, and elevate collegiate employability.</w:t>
      </w:r>
    </w:p>
    <w:p>
      <w:pPr>
        <w:keepNext/>
        <w:spacing w:before="240" w:after="120"/>
      </w:pPr>
      <w:r>
        <w:rPr>
          <w:rFonts w:ascii="Times New Roman" w:hAnsi="Times New Roman"/>
          <w:b/>
          <w:color w:val="1E3A8A"/>
          <w:sz w:val="26"/>
        </w:rPr>
        <w:t>8.2 Key Findings: Core Statistical Insights</w:t>
      </w:r>
    </w:p>
    <w:p>
      <w:pPr>
        <w:pStyle w:val="ListBullet"/>
        <w:spacing w:after="80" w:line="312" w:lineRule="auto"/>
        <w:jc w:val="both"/>
      </w:pPr>
      <w:r>
        <w:rPr>
          <w:rFonts w:ascii="Times New Roman" w:hAnsi="Times New Roman"/>
          <w:b/>
          <w:sz w:val="22"/>
        </w:rPr>
        <w:t xml:space="preserve">72.5% Unmet Need: </w:t>
      </w:r>
      <w:r>
        <w:rPr>
          <w:rFonts w:ascii="Times New Roman" w:hAnsi="Times New Roman"/>
          <w:sz w:val="22"/>
        </w:rPr>
        <w:t>Almost three-quarters of technical students feel underserved by existing placement setups.</w:t>
      </w:r>
    </w:p>
    <w:p>
      <w:pPr>
        <w:pStyle w:val="ListBullet"/>
        <w:spacing w:after="80" w:line="312" w:lineRule="auto"/>
        <w:jc w:val="both"/>
      </w:pPr>
      <w:r>
        <w:rPr>
          <w:rFonts w:ascii="Times New Roman" w:hAnsi="Times New Roman"/>
          <w:b/>
          <w:sz w:val="22"/>
        </w:rPr>
        <w:t xml:space="preserve">61.0% Communication Delay: </w:t>
      </w:r>
      <w:r>
        <w:rPr>
          <w:rFonts w:ascii="Times New Roman" w:hAnsi="Times New Roman"/>
          <w:sz w:val="22"/>
        </w:rPr>
        <w:t>Information latency is the primary operational failure point in campus hiring.</w:t>
      </w:r>
    </w:p>
    <w:p>
      <w:pPr>
        <w:pStyle w:val="ListBullet"/>
        <w:spacing w:after="80" w:line="312" w:lineRule="auto"/>
        <w:jc w:val="both"/>
      </w:pPr>
      <w:r>
        <w:rPr>
          <w:rFonts w:ascii="Times New Roman" w:hAnsi="Times New Roman"/>
          <w:b/>
          <w:sz w:val="22"/>
        </w:rPr>
        <w:t xml:space="preserve">68.0% Training Disconnect: </w:t>
      </w:r>
      <w:r>
        <w:rPr>
          <w:rFonts w:ascii="Times New Roman" w:hAnsi="Times New Roman"/>
          <w:sz w:val="22"/>
        </w:rPr>
        <w:t>Traditional vendor aptitude classes fail to prepare students for live coding rounds.</w:t>
      </w:r>
    </w:p>
    <w:p>
      <w:pPr>
        <w:pStyle w:val="ListBullet"/>
        <w:spacing w:after="80" w:line="312" w:lineRule="auto"/>
        <w:jc w:val="both"/>
      </w:pPr>
      <w:r>
        <w:rPr>
          <w:rFonts w:ascii="Times New Roman" w:hAnsi="Times New Roman"/>
          <w:b/>
          <w:sz w:val="22"/>
        </w:rPr>
        <w:t xml:space="preserve">97.5% Usability Validation: </w:t>
      </w:r>
      <w:r>
        <w:rPr>
          <w:rFonts w:ascii="Times New Roman" w:hAnsi="Times New Roman"/>
          <w:sz w:val="22"/>
        </w:rPr>
        <w:t>Transparent, explainable portal workflows eliminate user confusion and restore student confidence.</w:t>
      </w:r>
    </w:p>
    <w:p>
      <w:pPr>
        <w:keepNext/>
        <w:spacing w:before="240" w:after="120"/>
      </w:pPr>
      <w:r>
        <w:rPr>
          <w:rFonts w:ascii="Times New Roman" w:hAnsi="Times New Roman"/>
          <w:b/>
          <w:color w:val="1E3A8A"/>
          <w:sz w:val="26"/>
        </w:rPr>
        <w:t>8.3 Data-Backed Recommendations for Colleges</w:t>
      </w:r>
    </w:p>
    <w:p>
      <w:pPr>
        <w:pStyle w:val="ListBullet"/>
        <w:spacing w:after="80" w:line="312" w:lineRule="auto"/>
        <w:jc w:val="both"/>
      </w:pPr>
      <w:r>
        <w:rPr>
          <w:rFonts w:ascii="Times New Roman" w:hAnsi="Times New Roman"/>
          <w:b/>
          <w:sz w:val="22"/>
        </w:rPr>
        <w:t xml:space="preserve">Track Communication Latency Metrics: </w:t>
      </w:r>
      <w:r>
        <w:rPr>
          <w:rFonts w:ascii="Times New Roman" w:hAnsi="Times New Roman"/>
          <w:sz w:val="22"/>
        </w:rPr>
        <w:t>Monitor circular broadcast timestamps to ensure at least 48 hours of advance notice.</w:t>
      </w:r>
    </w:p>
    <w:p>
      <w:pPr>
        <w:pStyle w:val="ListBullet"/>
        <w:spacing w:after="80" w:line="312" w:lineRule="auto"/>
        <w:jc w:val="both"/>
      </w:pPr>
      <w:r>
        <w:rPr>
          <w:rFonts w:ascii="Times New Roman" w:hAnsi="Times New Roman"/>
          <w:b/>
          <w:sz w:val="22"/>
        </w:rPr>
        <w:t xml:space="preserve">Reallocate Training Budgets: </w:t>
      </w:r>
      <w:r>
        <w:rPr>
          <w:rFonts w:ascii="Times New Roman" w:hAnsi="Times New Roman"/>
          <w:sz w:val="22"/>
        </w:rPr>
        <w:t>Redirect funds from pen-and-paper aptitude vendors to practical, hands-on coding workshops.</w:t>
      </w:r>
    </w:p>
    <w:p>
      <w:pPr>
        <w:pStyle w:val="ListBullet"/>
        <w:spacing w:after="80" w:line="312" w:lineRule="auto"/>
        <w:jc w:val="both"/>
      </w:pPr>
      <w:r>
        <w:rPr>
          <w:rFonts w:ascii="Times New Roman" w:hAnsi="Times New Roman"/>
          <w:b/>
          <w:sz w:val="22"/>
        </w:rPr>
        <w:t xml:space="preserve">Enforce Data Transparency: </w:t>
      </w:r>
      <w:r>
        <w:rPr>
          <w:rFonts w:ascii="Times New Roman" w:hAnsi="Times New Roman"/>
          <w:sz w:val="22"/>
        </w:rPr>
        <w:t>Provide rejected applicants with itemized skill gap data to guide remediation.</w:t>
      </w:r>
    </w:p>
    <w:p>
      <w:pPr>
        <w:keepNext/>
        <w:spacing w:before="240" w:after="120"/>
      </w:pPr>
      <w:r>
        <w:rPr>
          <w:rFonts w:ascii="Times New Roman" w:hAnsi="Times New Roman"/>
          <w:b/>
          <w:color w:val="1E3A8A"/>
          <w:sz w:val="26"/>
        </w:rPr>
        <w:t>8.4 Future Enhancements: Predictive Analytics &amp; Longitudinal Tracking</w:t>
      </w:r>
    </w:p>
    <w:p>
      <w:pPr>
        <w:pStyle w:val="ListBullet"/>
        <w:spacing w:after="80" w:line="312" w:lineRule="auto"/>
        <w:jc w:val="both"/>
      </w:pPr>
      <w:r>
        <w:rPr>
          <w:rFonts w:ascii="Times New Roman" w:hAnsi="Times New Roman"/>
          <w:b/>
          <w:sz w:val="22"/>
        </w:rPr>
        <w:t xml:space="preserve">Longitudinal Employability Tracking: </w:t>
      </w:r>
      <w:r>
        <w:rPr>
          <w:rFonts w:ascii="Times New Roman" w:hAnsi="Times New Roman"/>
          <w:sz w:val="22"/>
        </w:rPr>
        <w:t>Track multi-year graduate career trajectories to measure long-term workshop impact.</w:t>
      </w:r>
    </w:p>
    <w:p>
      <w:pPr>
        <w:pStyle w:val="ListBullet"/>
        <w:spacing w:after="80" w:line="312" w:lineRule="auto"/>
        <w:jc w:val="both"/>
      </w:pPr>
      <w:r>
        <w:rPr>
          <w:rFonts w:ascii="Times New Roman" w:hAnsi="Times New Roman"/>
          <w:b/>
          <w:sz w:val="22"/>
        </w:rPr>
        <w:t xml:space="preserve">Predictive Skill Demand Forecasting: </w:t>
      </w:r>
      <w:r>
        <w:rPr>
          <w:rFonts w:ascii="Times New Roman" w:hAnsi="Times New Roman"/>
          <w:sz w:val="22"/>
        </w:rPr>
        <w:t>Analyze corporate job circular trends to predict in-demand technologies for upcoming semesters.</w:t>
      </w:r>
    </w:p>
    <w:p>
      <w:pPr>
        <w:pStyle w:val="ListBullet"/>
        <w:spacing w:after="80" w:line="312" w:lineRule="auto"/>
        <w:jc w:val="both"/>
      </w:pPr>
      <w:r>
        <w:rPr>
          <w:rFonts w:ascii="Times New Roman" w:hAnsi="Times New Roman"/>
          <w:b/>
          <w:sz w:val="22"/>
        </w:rPr>
        <w:t xml:space="preserve">Inter-Collegiate Metric Benchmarking: </w:t>
      </w:r>
      <w:r>
        <w:rPr>
          <w:rFonts w:ascii="Times New Roman" w:hAnsi="Times New Roman"/>
          <w:sz w:val="22"/>
        </w:rPr>
        <w:t>Compare placement latency metrics across Mumbai colleges to identify regional best practices.</w:t>
      </w:r>
    </w:p>
    <w:p>
      <w:r>
        <w:br w:type="page"/>
      </w:r>
    </w:p>
    <w:p>
      <w:pPr>
        <w:keepNext/>
        <w:spacing w:before="360" w:after="160"/>
      </w:pPr>
      <w:r>
        <w:rPr>
          <w:rFonts w:ascii="Times New Roman" w:hAnsi="Times New Roman"/>
          <w:b/>
          <w:color w:val="0F172A"/>
          <w:sz w:val="32"/>
        </w:rPr>
        <w:t>REFERENCES (MLA FORMAT)</w:t>
      </w:r>
    </w:p>
    <w:p>
      <w:pPr>
        <w:spacing w:after="120"/>
        <w:ind w:left="720" w:hanging="720"/>
      </w:pPr>
      <w:r>
        <w:rPr>
          <w:rFonts w:ascii="Times New Roman" w:hAnsi="Times New Roman"/>
          <w:sz w:val="21"/>
        </w:rPr>
        <w:t>All India Council for Technical Education (AICTE). Model Curriculum for Undergraduate Degree Courses in Engineering &amp; Technology. AICTE Publications, New Delhi, 2022.</w:t>
      </w:r>
    </w:p>
    <w:p>
      <w:pPr>
        <w:spacing w:after="120"/>
        <w:ind w:left="720" w:hanging="720"/>
      </w:pPr>
      <w:r>
        <w:rPr>
          <w:rFonts w:ascii="Times New Roman" w:hAnsi="Times New Roman"/>
          <w:sz w:val="21"/>
        </w:rPr>
        <w:t>Aspiring Minds. National Employability Report: Engineers 2019. Aspiring Minds Research Cell, Gurugram, 2019.</w:t>
      </w:r>
    </w:p>
    <w:p>
      <w:pPr>
        <w:spacing w:after="120"/>
        <w:ind w:left="720" w:hanging="720"/>
      </w:pPr>
      <w:r>
        <w:rPr>
          <w:rFonts w:ascii="Times New Roman" w:hAnsi="Times New Roman"/>
          <w:sz w:val="21"/>
        </w:rPr>
        <w:t>Guru Nanak Khalsa College of Arts, Science &amp; Commerce. Departmental Placement Circulars, Notice Records, and Survey Datasets. Matunga, Mumbai, Sept. 2026.</w:t>
      </w:r>
    </w:p>
    <w:p>
      <w:pPr>
        <w:spacing w:after="120"/>
        <w:ind w:left="720" w:hanging="720"/>
      </w:pPr>
      <w:r>
        <w:rPr>
          <w:rFonts w:ascii="Times New Roman" w:hAnsi="Times New Roman"/>
          <w:sz w:val="21"/>
        </w:rPr>
        <w:t>Provost, Foster, and Tom Fawcett. Data Science for Business: What You Need to Know about Data Mining and Data-Analytic Thinking. O'Reilly Media, Sebastopol, 2013.</w:t>
      </w:r>
    </w:p>
    <w:p>
      <w:pPr>
        <w:spacing w:after="120"/>
        <w:ind w:left="720" w:hanging="720"/>
      </w:pPr>
      <w:r>
        <w:rPr>
          <w:rFonts w:ascii="Times New Roman" w:hAnsi="Times New Roman"/>
          <w:sz w:val="21"/>
        </w:rPr>
        <w:t>Pressman, Roger S., and Bruce R. Maxim. Software Engineering: A Practitioner's Approach. 9th ed., McGraw-Hill Education, New York, 2020.</w:t>
      </w:r>
    </w:p>
    <w:p>
      <w:pPr>
        <w:spacing w:after="120"/>
        <w:ind w:left="720" w:hanging="720"/>
      </w:pPr>
      <w:r>
        <w:rPr>
          <w:rFonts w:ascii="Times New Roman" w:hAnsi="Times New Roman"/>
          <w:sz w:val="21"/>
        </w:rPr>
        <w:t>United Nations. The 2030 Agenda for Sustainable Development: Transforming Our World. United Nations Department of Economic and Social Affairs, New York, 2015.</w:t>
      </w:r>
    </w:p>
    <w:p>
      <w:pPr>
        <w:spacing w:after="120"/>
        <w:ind w:left="720" w:hanging="720"/>
      </w:pPr>
      <w:r>
        <w:rPr>
          <w:rFonts w:ascii="Times New Roman" w:hAnsi="Times New Roman"/>
          <w:sz w:val="21"/>
        </w:rPr>
        <w:t>Wickham, Hadley, and Garrett Grolemund. R for Data Science: Import, Tidy, Transform, Visualize, and Model Data. O'Reilly Media, Sebastopol, 2017.</w:t>
      </w:r>
    </w:p>
    <w:p>
      <w:pPr>
        <w:spacing w:after="120"/>
        <w:ind w:left="720" w:hanging="720"/>
      </w:pPr>
      <w:r>
        <w:rPr>
          <w:rFonts w:ascii="Times New Roman" w:hAnsi="Times New Roman"/>
          <w:sz w:val="21"/>
        </w:rPr>
        <w:t>World Economic Forum. The Future of Jobs Report 2023. World Economic Forum, Geneva, Switzerland, 2023.</w:t>
      </w:r>
    </w:p>
    <w:p>
      <w:r>
        <w:br w:type="page"/>
      </w:r>
    </w:p>
    <w:p>
      <w:pPr>
        <w:keepNext/>
        <w:spacing w:before="360" w:after="160"/>
      </w:pPr>
      <w:r>
        <w:rPr>
          <w:rFonts w:ascii="Times New Roman" w:hAnsi="Times New Roman"/>
          <w:b/>
          <w:color w:val="0F172A"/>
          <w:sz w:val="32"/>
        </w:rPr>
        <w:t>ANNEXURES</w:t>
      </w:r>
    </w:p>
    <w:p>
      <w:pPr>
        <w:keepNext/>
        <w:spacing w:before="240" w:after="120"/>
      </w:pPr>
      <w:r>
        <w:rPr>
          <w:rFonts w:ascii="Times New Roman" w:hAnsi="Times New Roman"/>
          <w:b/>
          <w:color w:val="1E3A8A"/>
          <w:sz w:val="26"/>
        </w:rPr>
        <w:t>ANNEXURE A: FIELD VISIT PHOTOGRAPHS</w:t>
      </w:r>
    </w:p>
    <w:p>
      <w:pPr>
        <w:spacing w:after="120" w:line="360" w:lineRule="auto"/>
        <w:jc w:val="both"/>
      </w:pPr>
      <w:r>
        <w:rPr>
          <w:rFonts w:ascii="Times New Roman" w:hAnsi="Times New Roman"/>
          <w:sz w:val="22"/>
        </w:rPr>
        <w:t>Photographic documentation recorded during three field visits to Guru Nanak Khalsa College of Arts, Science &amp; Commerce, Matunga, Mumbai:</w:t>
      </w: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PHOTO A.1: VISIT 1 — SURVEY SAMPLING SETUP &amp; QUESTIONNAIRE ROLLOUT ---</w:t>
              <w:br/>
              <w:br/>
            </w:r>
            <w:r>
              <w:rPr>
                <w:rFonts w:ascii="Times New Roman" w:hAnsi="Times New Roman"/>
                <w:b/>
                <w:i/>
                <w:color w:val="B91C1C"/>
                <w:sz w:val="24"/>
              </w:rPr>
              <w:t>[(add picture)]</w:t>
              <w:br/>
              <w:br/>
            </w:r>
            <w:r>
              <w:rPr>
                <w:rFonts w:ascii="Times New Roman" w:hAnsi="Times New Roman"/>
                <w:i/>
                <w:color w:val="475569"/>
                <w:sz w:val="20"/>
              </w:rPr>
              <w:t>Varun Patil, Dhiraj Tendulkar, Vidhi Mahato, and Gaurav Mhatre distributing the 12-question Google Form survey in the Computing Laboratory at Khalsa College, Matunga (12 September 2026).</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PHOTO A.2: VISIT 2 — USABILITY TASK LOGGING IN CENTRAL COMPUTING LAB ---</w:t>
              <w:br/>
              <w:br/>
            </w:r>
            <w:r>
              <w:rPr>
                <w:rFonts w:ascii="Times New Roman" w:hAnsi="Times New Roman"/>
                <w:b/>
                <w:i/>
                <w:color w:val="B91C1C"/>
                <w:sz w:val="24"/>
              </w:rPr>
              <w:t>[(add picture)]</w:t>
              <w:br/>
              <w:br/>
            </w:r>
            <w:r>
              <w:rPr>
                <w:rFonts w:ascii="Times New Roman" w:hAnsi="Times New Roman"/>
                <w:i/>
                <w:color w:val="475569"/>
                <w:sz w:val="20"/>
              </w:rPr>
              <w:t>Students executing hands-on scenario testing of the Skill Bridge prototype on desktop terminals in CCF Lab 3 while Varun Patil logs completion times and error rates (19 September 2026).</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PHOTO A.3: VISIT 3 — JOINT EVALUATION &amp; ACTION PLAN HANDOVER IN SEMINAR HALL ---</w:t>
              <w:br/>
              <w:br/>
            </w:r>
            <w:r>
              <w:rPr>
                <w:rFonts w:ascii="Times New Roman" w:hAnsi="Times New Roman"/>
                <w:b/>
                <w:i/>
                <w:color w:val="B91C1C"/>
                <w:sz w:val="24"/>
              </w:rPr>
              <w:t>[(add picture)]</w:t>
              <w:br/>
              <w:br/>
            </w:r>
            <w:r>
              <w:rPr>
                <w:rFonts w:ascii="Times New Roman" w:hAnsi="Times New Roman"/>
                <w:i/>
                <w:color w:val="475569"/>
                <w:sz w:val="20"/>
              </w:rPr>
              <w:t>Final presentation and evaluation session in Seminar Hall 2 with student representatives and faculty placement coordinators, presenting the 200-student survey analytics and action plan (26 September 2026).</w:t>
            </w:r>
          </w:p>
        </w:tc>
      </w:tr>
    </w:tbl>
    <w:p>
      <w:pPr>
        <w:spacing w:after="80"/>
      </w:pPr>
    </w:p>
    <w:p>
      <w:r>
        <w:br w:type="page"/>
      </w:r>
    </w:p>
    <w:p>
      <w:pPr>
        <w:keepNext/>
        <w:spacing w:before="240" w:after="120"/>
      </w:pPr>
      <w:r>
        <w:rPr>
          <w:rFonts w:ascii="Times New Roman" w:hAnsi="Times New Roman"/>
          <w:b/>
          <w:color w:val="1E3A8A"/>
          <w:sz w:val="26"/>
        </w:rPr>
        <w:t>ANNEXURE B: SURVEY QUESTIONNAIRE (GOOGLE FORM)</w:t>
      </w:r>
    </w:p>
    <w:p>
      <w:pPr>
        <w:spacing w:after="120" w:line="360" w:lineRule="auto"/>
        <w:jc w:val="both"/>
      </w:pPr>
      <w:r>
        <w:rPr>
          <w:rFonts w:ascii="Times New Roman" w:hAnsi="Times New Roman"/>
          <w:sz w:val="22"/>
        </w:rPr>
        <w:t>The structured 12-question questionnaire circulated manually via Google Form to 200 undergraduate students at Guru Nanak Khalsa College:</w:t>
      </w:r>
    </w:p>
    <w:p>
      <w:pPr>
        <w:spacing w:after="80"/>
      </w:pPr>
      <w:r>
        <w:rPr>
          <w:b/>
          <w:sz w:val="21"/>
        </w:rPr>
        <w:t>Q1: Which department or course are you studying in?</w:t>
        <w:br/>
      </w:r>
      <w:r>
        <w:rPr>
          <w:i/>
          <w:color w:val="475569"/>
          <w:sz w:val="20"/>
        </w:rPr>
        <w:t>Options / Input: Select: Computer Science (CS) / Information Technology (IT) / Data Science (DS)</w:t>
        <w:br/>
      </w:r>
    </w:p>
    <w:p>
      <w:pPr>
        <w:spacing w:after="80"/>
      </w:pPr>
      <w:r>
        <w:rPr>
          <w:b/>
          <w:sz w:val="21"/>
        </w:rPr>
        <w:t>Q2: What is your current year of study?</w:t>
        <w:br/>
      </w:r>
      <w:r>
        <w:rPr>
          <w:i/>
          <w:color w:val="475569"/>
          <w:sz w:val="20"/>
        </w:rPr>
        <w:t>Options / Input: Select: First / Second / Third / Fourth / Other</w:t>
        <w:br/>
      </w:r>
    </w:p>
    <w:p>
      <w:pPr>
        <w:spacing w:after="80"/>
      </w:pPr>
      <w:r>
        <w:rPr>
          <w:b/>
          <w:sz w:val="21"/>
        </w:rPr>
        <w:t>Q3: What job role or career domain are you mainly interested in?</w:t>
        <w:br/>
      </w:r>
      <w:r>
        <w:rPr>
          <w:i/>
          <w:color w:val="475569"/>
          <w:sz w:val="20"/>
        </w:rPr>
        <w:t>Options / Input: Short text (e.g., Software Engineer, Full Stack Developer, Data Analyst)</w:t>
        <w:br/>
      </w:r>
    </w:p>
    <w:p>
      <w:pPr>
        <w:spacing w:after="80"/>
      </w:pPr>
      <w:r>
        <w:rPr>
          <w:b/>
          <w:sz w:val="21"/>
        </w:rPr>
        <w:t>Q4: How many campus recruitment drives offered roles relevant to your preferred domain during the current academic year?</w:t>
        <w:br/>
      </w:r>
      <w:r>
        <w:rPr>
          <w:i/>
          <w:color w:val="475569"/>
          <w:sz w:val="20"/>
        </w:rPr>
        <w:t>Options / Input: Select: 0 / 1–2 / 3 or more / Not sure</w:t>
        <w:br/>
      </w:r>
    </w:p>
    <w:p>
      <w:pPr>
        <w:spacing w:after="80"/>
      </w:pPr>
      <w:r>
        <w:rPr>
          <w:b/>
          <w:sz w:val="21"/>
        </w:rPr>
        <w:t>Q5: Is the placement cell currently meeting your placement-related needs?</w:t>
        <w:br/>
      </w:r>
      <w:r>
        <w:rPr>
          <w:i/>
          <w:color w:val="475569"/>
          <w:sz w:val="20"/>
        </w:rPr>
        <w:t>Options / Input: Select: Yes / Partly / No / Not enough experience to judge</w:t>
        <w:br/>
      </w:r>
    </w:p>
    <w:p>
      <w:pPr>
        <w:spacing w:after="80"/>
      </w:pPr>
      <w:r>
        <w:rPr>
          <w:b/>
          <w:sz w:val="21"/>
        </w:rPr>
        <w:t>Q6: How often do you receive placement information early enough to prepare and apply?</w:t>
        <w:br/>
      </w:r>
      <w:r>
        <w:rPr>
          <w:i/>
          <w:color w:val="475569"/>
          <w:sz w:val="20"/>
        </w:rPr>
        <w:t>Options / Input: Select: Always / Often / Sometimes / Rarely / Never</w:t>
        <w:br/>
      </w:r>
    </w:p>
    <w:p>
      <w:pPr>
        <w:spacing w:after="80"/>
      </w:pPr>
      <w:r>
        <w:rPr>
          <w:b/>
          <w:sz w:val="21"/>
        </w:rPr>
        <w:t>Q7: How useful was the college-arranged placement/training support in preparing you for assessments?</w:t>
        <w:br/>
      </w:r>
      <w:r>
        <w:rPr>
          <w:i/>
          <w:color w:val="475569"/>
          <w:sz w:val="20"/>
        </w:rPr>
        <w:t>Options / Input: Select: Very useful / Somewhat useful / Not useful / Have not attended</w:t>
        <w:br/>
      </w:r>
    </w:p>
    <w:p>
      <w:pPr>
        <w:spacing w:after="80"/>
      </w:pPr>
      <w:r>
        <w:rPr>
          <w:b/>
          <w:sz w:val="21"/>
        </w:rPr>
        <w:t>Q8: What is the single biggest barrier you face in getting placed?</w:t>
        <w:br/>
      </w:r>
      <w:r>
        <w:rPr>
          <w:i/>
          <w:color w:val="475569"/>
          <w:sz w:val="20"/>
        </w:rPr>
        <w:t>Options / Input: Select: Lack of technical skills / Eligibility cutoffs (CGPA) / Short notice / Few domain drives / Interview fear</w:t>
        <w:br/>
      </w:r>
    </w:p>
    <w:p>
      <w:pPr>
        <w:spacing w:after="80"/>
      </w:pPr>
      <w:r>
        <w:rPr>
          <w:b/>
          <w:sz w:val="21"/>
        </w:rPr>
        <w:t>Q9: What kind of support do you most urgently need from the college right now?</w:t>
        <w:br/>
      </w:r>
      <w:r>
        <w:rPr>
          <w:i/>
          <w:color w:val="475569"/>
          <w:sz w:val="20"/>
        </w:rPr>
        <w:t>Options / Input: Select: Coding/DSA workshops / Mock interviews / Timely circulars / Lower CGPA criteria</w:t>
        <w:br/>
      </w:r>
    </w:p>
    <w:p>
      <w:pPr>
        <w:spacing w:after="80"/>
      </w:pPr>
      <w:r>
        <w:rPr>
          <w:b/>
          <w:sz w:val="21"/>
        </w:rPr>
        <w:t>Q10: How satisfied are you with the overall campus placement process so far?</w:t>
        <w:br/>
      </w:r>
      <w:r>
        <w:rPr>
          <w:i/>
          <w:color w:val="475569"/>
          <w:sz w:val="20"/>
        </w:rPr>
        <w:t>Options / Input: Select: Very satisfied / Satisfied / Neutral / Dissatisfied / Very dissatisfied</w:t>
        <w:br/>
      </w:r>
    </w:p>
    <w:p>
      <w:pPr>
        <w:spacing w:after="80"/>
      </w:pPr>
      <w:r>
        <w:rPr>
          <w:b/>
          <w:sz w:val="21"/>
        </w:rPr>
        <w:t>Q11: Have you missed any placement drive or test deadline due to late information?</w:t>
        <w:br/>
      </w:r>
      <w:r>
        <w:rPr>
          <w:i/>
          <w:color w:val="475569"/>
          <w:sz w:val="20"/>
        </w:rPr>
        <w:t>Options / Input: Select: Yes / No</w:t>
        <w:br/>
      </w:r>
    </w:p>
    <w:p>
      <w:pPr>
        <w:spacing w:after="80"/>
      </w:pPr>
      <w:r>
        <w:rPr>
          <w:b/>
          <w:sz w:val="21"/>
        </w:rPr>
        <w:t>Q12: What specific change would make the placement cell significantly more helpful for your career?</w:t>
        <w:br/>
      </w:r>
      <w:r>
        <w:rPr>
          <w:i/>
          <w:color w:val="475569"/>
          <w:sz w:val="20"/>
        </w:rPr>
        <w:t>Options / Input: Paragraph text: Qualitative suggestions and student feedback</w:t>
        <w:br/>
      </w:r>
    </w:p>
    <w:p>
      <w:r>
        <w:br w:type="page"/>
      </w:r>
    </w:p>
    <w:p>
      <w:pPr>
        <w:keepNext/>
        <w:spacing w:before="240" w:after="120"/>
      </w:pPr>
      <w:r>
        <w:rPr>
          <w:rFonts w:ascii="Times New Roman" w:hAnsi="Times New Roman"/>
          <w:b/>
          <w:color w:val="1E3A8A"/>
          <w:sz w:val="26"/>
        </w:rPr>
        <w:t>ANNEXURE C: INTERVIEW &amp; FOCUS GROUP DISCUSSION PROMPTS</w:t>
      </w:r>
    </w:p>
    <w:p>
      <w:pPr>
        <w:spacing w:after="120" w:line="360" w:lineRule="auto"/>
        <w:jc w:val="both"/>
      </w:pPr>
      <w:r>
        <w:rPr>
          <w:rFonts w:ascii="Times New Roman" w:hAnsi="Times New Roman"/>
          <w:sz w:val="22"/>
        </w:rPr>
        <w:t>Data analytics interview prompts utilized during student and faculty focus groups across Visits 1, 2, and 3:</w:t>
      </w:r>
    </w:p>
    <w:p>
      <w:pPr>
        <w:pStyle w:val="ListBullet"/>
        <w:spacing w:after="80" w:line="312" w:lineRule="auto"/>
        <w:jc w:val="both"/>
      </w:pPr>
      <w:r>
        <w:rPr>
          <w:rFonts w:ascii="Times New Roman" w:hAnsi="Times New Roman"/>
          <w:b/>
          <w:sz w:val="22"/>
        </w:rPr>
        <w:t xml:space="preserve">Statistical Audit Prompt 1: </w:t>
      </w:r>
      <w:r>
        <w:rPr>
          <w:rFonts w:ascii="Times New Roman" w:hAnsi="Times New Roman"/>
          <w:sz w:val="22"/>
        </w:rPr>
        <w:t>How many recruitment circulars did you receive this semester, and what percentage of those offered roles aligned with your technical specialization?</w:t>
      </w:r>
    </w:p>
    <w:p>
      <w:pPr>
        <w:pStyle w:val="ListBullet"/>
        <w:spacing w:after="80" w:line="312" w:lineRule="auto"/>
        <w:jc w:val="both"/>
      </w:pPr>
      <w:r>
        <w:rPr>
          <w:rFonts w:ascii="Times New Roman" w:hAnsi="Times New Roman"/>
          <w:b/>
          <w:sz w:val="22"/>
        </w:rPr>
        <w:t xml:space="preserve">Statistical Audit Prompt 2: </w:t>
      </w:r>
      <w:r>
        <w:rPr>
          <w:rFonts w:ascii="Times New Roman" w:hAnsi="Times New Roman"/>
          <w:sz w:val="22"/>
        </w:rPr>
        <w:t>What is the typical time gap (in hours) between receiving a circular and the registration form closing?</w:t>
      </w:r>
    </w:p>
    <w:p>
      <w:pPr>
        <w:pStyle w:val="ListBullet"/>
        <w:spacing w:after="80" w:line="312" w:lineRule="auto"/>
        <w:jc w:val="both"/>
      </w:pPr>
      <w:r>
        <w:rPr>
          <w:rFonts w:ascii="Times New Roman" w:hAnsi="Times New Roman"/>
          <w:b/>
          <w:sz w:val="22"/>
        </w:rPr>
        <w:t xml:space="preserve">Statistical Audit Prompt 3: </w:t>
      </w:r>
      <w:r>
        <w:rPr>
          <w:rFonts w:ascii="Times New Roman" w:hAnsi="Times New Roman"/>
          <w:sz w:val="22"/>
        </w:rPr>
        <w:t>If a student has a CGPA between 6.0 and 7.0 but strong project work, what percentage of campus drives are they eligible for?</w:t>
      </w:r>
    </w:p>
    <w:p>
      <w:pPr>
        <w:pStyle w:val="ListBullet"/>
        <w:spacing w:after="80" w:line="312" w:lineRule="auto"/>
        <w:jc w:val="both"/>
      </w:pPr>
      <w:r>
        <w:rPr>
          <w:rFonts w:ascii="Times New Roman" w:hAnsi="Times New Roman"/>
          <w:b/>
          <w:sz w:val="22"/>
        </w:rPr>
        <w:t xml:space="preserve">Coordinator Prompt 1: </w:t>
      </w:r>
      <w:r>
        <w:rPr>
          <w:rFonts w:ascii="Times New Roman" w:hAnsi="Times New Roman"/>
          <w:sz w:val="22"/>
        </w:rPr>
        <w:t>What metrics does the placement cell currently use to track student application volumes and drop-off rates?</w:t>
      </w:r>
    </w:p>
    <w:p>
      <w:pPr>
        <w:pStyle w:val="ListBullet"/>
        <w:spacing w:after="80" w:line="312" w:lineRule="auto"/>
        <w:jc w:val="both"/>
      </w:pPr>
      <w:r>
        <w:rPr>
          <w:rFonts w:ascii="Times New Roman" w:hAnsi="Times New Roman"/>
          <w:b/>
          <w:sz w:val="22"/>
        </w:rPr>
        <w:t xml:space="preserve">Coordinator Prompt 2: </w:t>
      </w:r>
      <w:r>
        <w:rPr>
          <w:rFonts w:ascii="Times New Roman" w:hAnsi="Times New Roman"/>
          <w:sz w:val="22"/>
        </w:rPr>
        <w:t>How would real-time workshop seat counters and candidate status dashboards assist your administrative reporting?</w:t>
      </w:r>
    </w:p>
    <w:p>
      <w:r>
        <w:br w:type="page"/>
      </w:r>
    </w:p>
    <w:p>
      <w:pPr>
        <w:keepNext/>
        <w:spacing w:before="240" w:after="120"/>
      </w:pPr>
      <w:r>
        <w:rPr>
          <w:rFonts w:ascii="Times New Roman" w:hAnsi="Times New Roman"/>
          <w:b/>
          <w:color w:val="1E3A8A"/>
          <w:sz w:val="26"/>
        </w:rPr>
        <w:t>ANNEXURE D: REPORTING OFFICER / MENTOR FEEDBACK FORM</w:t>
      </w:r>
    </w:p>
    <w:p>
      <w:pPr>
        <w:spacing w:after="120" w:line="360" w:lineRule="auto"/>
        <w:jc w:val="both"/>
      </w:pPr>
      <w:r>
        <w:rPr>
          <w:rFonts w:ascii="Times New Roman" w:hAnsi="Times New Roman"/>
          <w:sz w:val="22"/>
        </w:rPr>
        <w:t>Blank evaluation form for Industry / Field Reporting Officer at Guru Nanak Khalsa College and Faculty Mentor at VSIT:</w:t>
      </w: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ANNEXURE D: FIELD REPORTING OFFICER &amp; MENTOR EVALUATION SHEET ---</w:t>
              <w:br/>
              <w:br/>
            </w:r>
            <w:r>
              <w:rPr>
                <w:rFonts w:ascii="Times New Roman" w:hAnsi="Times New Roman"/>
                <w:b/>
                <w:i/>
                <w:color w:val="B91C1C"/>
                <w:sz w:val="24"/>
              </w:rPr>
              <w:t>[(add picture)]</w:t>
              <w:br/>
              <w:br/>
            </w:r>
            <w:r>
              <w:rPr>
                <w:rFonts w:ascii="Times New Roman" w:hAnsi="Times New Roman"/>
                <w:i/>
                <w:color w:val="475569"/>
                <w:sz w:val="20"/>
              </w:rPr>
              <w:t>Official institutional rating sheet evaluating statistical sampling rigor, data integrity, analytical methodology, and final report thoroughness.</w:t>
            </w:r>
          </w:p>
        </w:tc>
      </w:tr>
    </w:tbl>
    <w:p>
      <w:pPr>
        <w:spacing w:after="80"/>
      </w:pPr>
    </w:p>
    <w:p>
      <w:r>
        <w:br w:type="page"/>
      </w:r>
    </w:p>
    <w:p>
      <w:pPr>
        <w:keepNext/>
        <w:spacing w:before="240" w:after="120"/>
      </w:pPr>
      <w:r>
        <w:rPr>
          <w:rFonts w:ascii="Times New Roman" w:hAnsi="Times New Roman"/>
          <w:b/>
          <w:color w:val="1E3A8A"/>
          <w:sz w:val="26"/>
        </w:rPr>
        <w:t>ANNEXURE E: SOURCE CODE REPOSITORY LINK &amp; PROJECT CONTENTS</w:t>
      </w:r>
    </w:p>
    <w:p>
      <w:pPr>
        <w:spacing w:after="120" w:line="360" w:lineRule="auto"/>
        <w:jc w:val="both"/>
      </w:pPr>
      <w:r>
        <w:rPr>
          <w:rFonts w:ascii="Times New Roman" w:hAnsi="Times New Roman"/>
          <w:sz w:val="22"/>
        </w:rPr>
        <w:t>Source code archive and project repository:</w:t>
      </w:r>
    </w:p>
    <w:p>
      <w:pPr>
        <w:pStyle w:val="ListBullet"/>
        <w:spacing w:after="80" w:line="312" w:lineRule="auto"/>
        <w:jc w:val="both"/>
      </w:pPr>
      <w:r>
        <w:rPr>
          <w:rFonts w:ascii="Times New Roman" w:hAnsi="Times New Roman"/>
          <w:b/>
          <w:sz w:val="22"/>
        </w:rPr>
        <w:t xml:space="preserve">Repository URL: </w:t>
      </w:r>
      <w:r>
        <w:rPr>
          <w:rFonts w:ascii="Times New Roman" w:hAnsi="Times New Roman"/>
          <w:sz w:val="22"/>
        </w:rPr>
        <w:t>https://github.com/dhiraj-tendulkar/skill-bridge-cep-portal (Local workspace: D:\CEP website)</w:t>
      </w:r>
    </w:p>
    <w:p>
      <w:pPr>
        <w:pStyle w:val="ListBullet"/>
        <w:spacing w:after="80" w:line="312" w:lineRule="auto"/>
        <w:jc w:val="both"/>
      </w:pPr>
      <w:r>
        <w:rPr>
          <w:rFonts w:ascii="Times New Roman" w:hAnsi="Times New Roman"/>
          <w:b/>
          <w:sz w:val="22"/>
        </w:rPr>
        <w:t xml:space="preserve">Repository Contents: </w:t>
      </w:r>
      <w:r>
        <w:rPr>
          <w:rFonts w:ascii="Times New Roman" w:hAnsi="Times New Roman"/>
          <w:sz w:val="22"/>
        </w:rPr>
        <w:t>Complete web portal codebase, SQLite database migration scripts, empirical survey seeds, and full documentation suite.</w:t>
      </w:r>
    </w:p>
    <w:p>
      <w:r>
        <w:br w:type="page"/>
      </w:r>
    </w:p>
    <w:p>
      <w:pPr>
        <w:keepNext/>
        <w:spacing w:before="240" w:after="120"/>
      </w:pPr>
      <w:r>
        <w:rPr>
          <w:rFonts w:ascii="Times New Roman" w:hAnsi="Times New Roman"/>
          <w:b/>
          <w:color w:val="1E3A8A"/>
          <w:sz w:val="26"/>
        </w:rPr>
        <w:t>ANNEXURE F: USER MANUAL &amp; WORKFLOW GUIDE</w:t>
      </w:r>
    </w:p>
    <w:p>
      <w:pPr>
        <w:spacing w:after="120" w:line="360" w:lineRule="auto"/>
        <w:jc w:val="both"/>
      </w:pPr>
      <w:r>
        <w:rPr>
          <w:rFonts w:ascii="Times New Roman" w:hAnsi="Times New Roman"/>
          <w:sz w:val="22"/>
        </w:rPr>
        <w:t>User guide for students and placement coordinators focusing on analytical dashboard metrics and workshop enrollment:</w:t>
      </w:r>
    </w:p>
    <w:p>
      <w:pPr>
        <w:pStyle w:val="ListBullet"/>
        <w:spacing w:after="80" w:line="312" w:lineRule="auto"/>
        <w:jc w:val="both"/>
      </w:pPr>
      <w:r>
        <w:rPr>
          <w:rFonts w:ascii="Times New Roman" w:hAnsi="Times New Roman"/>
          <w:b/>
          <w:sz w:val="22"/>
        </w:rPr>
        <w:t xml:space="preserve">Student Instructions: </w:t>
      </w:r>
      <w:r>
        <w:rPr>
          <w:rFonts w:ascii="Times New Roman" w:hAnsi="Times New Roman"/>
          <w:sz w:val="22"/>
        </w:rPr>
        <w:t>1. Open the portal; 2. Configure branch and technical skills in your profile; 3. Browse active circulars; 4. Review matched and missing skills; 5. Enroll in practical workshop clinics; 6. Submit confidential feedback via the Feedback desk.</w:t>
      </w:r>
    </w:p>
    <w:p>
      <w:pPr>
        <w:pStyle w:val="ListBullet"/>
        <w:spacing w:after="80" w:line="312" w:lineRule="auto"/>
        <w:jc w:val="both"/>
      </w:pPr>
      <w:r>
        <w:rPr>
          <w:rFonts w:ascii="Times New Roman" w:hAnsi="Times New Roman"/>
          <w:b/>
          <w:sz w:val="22"/>
        </w:rPr>
        <w:t xml:space="preserve">Coordinator Instructions: </w:t>
      </w:r>
      <w:r>
        <w:rPr>
          <w:rFonts w:ascii="Times New Roman" w:hAnsi="Times New Roman"/>
          <w:sz w:val="22"/>
        </w:rPr>
        <w:t>1. Log into the Command Desk; 2. Create vacancies with required technical skill tags; 3. Review candidate lists with feedback; 4. Mark clinic attendance; 5. Review and resolve student grievances anonymously.</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