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E68C" w14:textId="77777777" w:rsidR="00BF3A80" w:rsidRDefault="00000000">
      <w:pPr>
        <w:jc w:val="center"/>
      </w:pPr>
      <w:r>
        <w:rPr>
          <w:b/>
          <w:color w:val="6366F1"/>
          <w:sz w:val="72"/>
        </w:rPr>
        <w:br/>
      </w:r>
      <w:r>
        <w:rPr>
          <w:b/>
          <w:color w:val="6366F1"/>
          <w:sz w:val="72"/>
        </w:rPr>
        <w:br/>
        <w:t>RETENTIX AI</w:t>
      </w:r>
    </w:p>
    <w:p w14:paraId="5D8D4ED7" w14:textId="77777777" w:rsidR="00BF3A80" w:rsidRDefault="00000000">
      <w:pPr>
        <w:jc w:val="center"/>
      </w:pPr>
      <w:r>
        <w:rPr>
          <w:color w:val="1F4E79"/>
          <w:sz w:val="40"/>
        </w:rPr>
        <w:t>Customer Churn Intelligence &amp; Retention Studio</w:t>
      </w:r>
    </w:p>
    <w:p w14:paraId="111680F9" w14:textId="77777777" w:rsidR="00BF3A80" w:rsidRDefault="00BF3A80"/>
    <w:p w14:paraId="275E9565" w14:textId="77777777" w:rsidR="00BF3A80" w:rsidRDefault="00000000">
      <w:pPr>
        <w:jc w:val="center"/>
      </w:pPr>
      <w:r>
        <w:rPr>
          <w:color w:val="667EEA"/>
          <w:sz w:val="32"/>
        </w:rPr>
        <w:t>Comprehensive Project Report</w:t>
      </w:r>
    </w:p>
    <w:p w14:paraId="7295FB5C" w14:textId="77777777" w:rsidR="00BF3A80" w:rsidRDefault="00BF3A80"/>
    <w:p w14:paraId="7ED8F70C" w14:textId="77777777" w:rsidR="00BF3A80" w:rsidRDefault="00BF3A80"/>
    <w:tbl>
      <w:tblPr>
        <w:tblW w:w="0" w:type="auto"/>
        <w:jc w:val="center"/>
        <w:tblLook w:val="04A0" w:firstRow="1" w:lastRow="0" w:firstColumn="1" w:lastColumn="0" w:noHBand="0" w:noVBand="1"/>
      </w:tblPr>
      <w:tblGrid>
        <w:gridCol w:w="4680"/>
        <w:gridCol w:w="4680"/>
      </w:tblGrid>
      <w:tr w:rsidR="00BF3A80" w14:paraId="55D4361E" w14:textId="77777777">
        <w:trPr>
          <w:jc w:val="center"/>
        </w:trPr>
        <w:tc>
          <w:tcPr>
            <w:tcW w:w="4680" w:type="dxa"/>
            <w:shd w:val="clear" w:color="auto" w:fill="E0E7FF"/>
          </w:tcPr>
          <w:p w14:paraId="648A86A9" w14:textId="77777777" w:rsidR="00BF3A80" w:rsidRDefault="00000000">
            <w:r>
              <w:rPr>
                <w:b/>
              </w:rPr>
              <w:t>Project Name</w:t>
            </w:r>
          </w:p>
        </w:tc>
        <w:tc>
          <w:tcPr>
            <w:tcW w:w="4680" w:type="dxa"/>
            <w:shd w:val="clear" w:color="auto" w:fill="F8FAFC"/>
          </w:tcPr>
          <w:p w14:paraId="315CF29D" w14:textId="77777777" w:rsidR="00BF3A80" w:rsidRDefault="00000000">
            <w:r>
              <w:t>RETENTIX AI - Customer Churn Intelligence Studio</w:t>
            </w:r>
          </w:p>
        </w:tc>
      </w:tr>
      <w:tr w:rsidR="00BF3A80" w14:paraId="02DEE9D0" w14:textId="77777777">
        <w:trPr>
          <w:jc w:val="center"/>
        </w:trPr>
        <w:tc>
          <w:tcPr>
            <w:tcW w:w="4680" w:type="dxa"/>
            <w:shd w:val="clear" w:color="auto" w:fill="E0E7FF"/>
          </w:tcPr>
          <w:p w14:paraId="492D08DF" w14:textId="77777777" w:rsidR="00BF3A80" w:rsidRDefault="00000000">
            <w:r>
              <w:rPr>
                <w:b/>
              </w:rPr>
              <w:t>Engineered By</w:t>
            </w:r>
          </w:p>
        </w:tc>
        <w:tc>
          <w:tcPr>
            <w:tcW w:w="4680" w:type="dxa"/>
            <w:shd w:val="clear" w:color="auto" w:fill="F8FAFC"/>
          </w:tcPr>
          <w:p w14:paraId="5FBA2309" w14:textId="77777777" w:rsidR="00BF3A80" w:rsidRDefault="00000000">
            <w:r>
              <w:t>Dhiraj Dalvi</w:t>
            </w:r>
          </w:p>
        </w:tc>
      </w:tr>
      <w:tr w:rsidR="00BF3A80" w14:paraId="43508457" w14:textId="77777777">
        <w:trPr>
          <w:jc w:val="center"/>
        </w:trPr>
        <w:tc>
          <w:tcPr>
            <w:tcW w:w="4680" w:type="dxa"/>
            <w:shd w:val="clear" w:color="auto" w:fill="E0E7FF"/>
          </w:tcPr>
          <w:p w14:paraId="3CBC865D" w14:textId="77777777" w:rsidR="00BF3A80" w:rsidRDefault="00000000">
            <w:r>
              <w:rPr>
                <w:b/>
              </w:rPr>
              <w:t>Course</w:t>
            </w:r>
          </w:p>
        </w:tc>
        <w:tc>
          <w:tcPr>
            <w:tcW w:w="4680" w:type="dxa"/>
            <w:shd w:val="clear" w:color="auto" w:fill="F8FAFC"/>
          </w:tcPr>
          <w:p w14:paraId="277B614D" w14:textId="77777777" w:rsidR="00BF3A80" w:rsidRDefault="00000000">
            <w:r>
              <w:t>Data Analytics / Machine Learning</w:t>
            </w:r>
          </w:p>
        </w:tc>
      </w:tr>
      <w:tr w:rsidR="00BF3A80" w14:paraId="0A8BD29E" w14:textId="77777777">
        <w:trPr>
          <w:jc w:val="center"/>
        </w:trPr>
        <w:tc>
          <w:tcPr>
            <w:tcW w:w="4680" w:type="dxa"/>
            <w:shd w:val="clear" w:color="auto" w:fill="E0E7FF"/>
          </w:tcPr>
          <w:p w14:paraId="02F1CE62" w14:textId="77777777" w:rsidR="00BF3A80" w:rsidRDefault="00000000">
            <w:r>
              <w:rPr>
                <w:b/>
              </w:rPr>
              <w:t>Date</w:t>
            </w:r>
          </w:p>
        </w:tc>
        <w:tc>
          <w:tcPr>
            <w:tcW w:w="4680" w:type="dxa"/>
            <w:shd w:val="clear" w:color="auto" w:fill="F8FAFC"/>
          </w:tcPr>
          <w:p w14:paraId="118731BD" w14:textId="77777777" w:rsidR="00BF3A80" w:rsidRDefault="00000000">
            <w:r>
              <w:t>October 2026</w:t>
            </w:r>
          </w:p>
        </w:tc>
      </w:tr>
      <w:tr w:rsidR="00BF3A80" w14:paraId="190F7E4D" w14:textId="77777777">
        <w:trPr>
          <w:jc w:val="center"/>
        </w:trPr>
        <w:tc>
          <w:tcPr>
            <w:tcW w:w="4680" w:type="dxa"/>
            <w:shd w:val="clear" w:color="auto" w:fill="E0E7FF"/>
          </w:tcPr>
          <w:p w14:paraId="311BAF4C" w14:textId="77777777" w:rsidR="00BF3A80" w:rsidRDefault="00000000">
            <w:r>
              <w:rPr>
                <w:b/>
              </w:rPr>
              <w:t>Dataset</w:t>
            </w:r>
          </w:p>
        </w:tc>
        <w:tc>
          <w:tcPr>
            <w:tcW w:w="4680" w:type="dxa"/>
            <w:shd w:val="clear" w:color="auto" w:fill="F8FAFC"/>
          </w:tcPr>
          <w:p w14:paraId="0E20BD6C" w14:textId="77777777" w:rsidR="00BF3A80" w:rsidRDefault="00000000">
            <w:r>
              <w:t>Telco Customer Churn (7,043 records)</w:t>
            </w:r>
          </w:p>
        </w:tc>
      </w:tr>
      <w:tr w:rsidR="00BF3A80" w14:paraId="594711DC" w14:textId="77777777">
        <w:trPr>
          <w:jc w:val="center"/>
        </w:trPr>
        <w:tc>
          <w:tcPr>
            <w:tcW w:w="4680" w:type="dxa"/>
            <w:shd w:val="clear" w:color="auto" w:fill="E0E7FF"/>
          </w:tcPr>
          <w:p w14:paraId="026D0DF1" w14:textId="77777777" w:rsidR="00BF3A80" w:rsidRDefault="00000000">
            <w:r>
              <w:rPr>
                <w:b/>
              </w:rPr>
              <w:t>Version</w:t>
            </w:r>
          </w:p>
        </w:tc>
        <w:tc>
          <w:tcPr>
            <w:tcW w:w="4680" w:type="dxa"/>
            <w:shd w:val="clear" w:color="auto" w:fill="F8FAFC"/>
          </w:tcPr>
          <w:p w14:paraId="2CBC9258" w14:textId="77777777" w:rsidR="00BF3A80" w:rsidRDefault="00000000">
            <w:r>
              <w:t>v2.4 - Enterprise Production Release</w:t>
            </w:r>
          </w:p>
        </w:tc>
      </w:tr>
    </w:tbl>
    <w:p w14:paraId="1685183D" w14:textId="77777777" w:rsidR="00BF3A80" w:rsidRDefault="00BF3A80"/>
    <w:p w14:paraId="0AFFA48B" w14:textId="77777777" w:rsidR="00BF3A80" w:rsidRDefault="00BF3A80">
      <w:pPr>
        <w:pBdr>
          <w:bottom w:val="single" w:sz="6" w:space="1" w:color="6366F1"/>
        </w:pBdr>
      </w:pPr>
    </w:p>
    <w:p w14:paraId="0C582DCF" w14:textId="77777777" w:rsidR="00BF3A80" w:rsidRDefault="00000000">
      <w:pPr>
        <w:pStyle w:val="Heading1"/>
      </w:pPr>
      <w:r>
        <w:t>Executive Summary</w:t>
      </w:r>
    </w:p>
    <w:p w14:paraId="2DE2125A" w14:textId="77777777" w:rsidR="00BF3A80" w:rsidRDefault="00000000">
      <w:r>
        <w:t>RETENTIX AI is a state-of-the-art, end-to-end customer churn intelligence platform designed for telecommunications enterprise leaders, retention managers, and data science teams. By combining high-precision machine learning inference with interactive commercial simulation, RETENTIX AI empowers organizations to identify churn risks, diagnose behavioral catalysts, simulate retention campaign ROI, and execute targeted retention strategies before revenue loss occurs.</w:t>
      </w:r>
      <w:r>
        <w:br/>
      </w:r>
      <w:r>
        <w:br/>
        <w:t xml:space="preserve">The system processes 7,043 customer records through a sophisticated ML pipeline, achieving 84.2% ROC-AUC performance with the champion model. The platform features real-time prediction capabilities, batch </w:t>
      </w:r>
      <w:r>
        <w:lastRenderedPageBreak/>
        <w:t>processing for portfolio-wide risk assessment, and explainable AI (XAI) through SHAP analysis to provide actionable insights for retention teams.</w:t>
      </w:r>
    </w:p>
    <w:p w14:paraId="54E6CA5B" w14:textId="77777777" w:rsidR="00BF3A80" w:rsidRDefault="00BF3A80"/>
    <w:tbl>
      <w:tblPr>
        <w:tblW w:w="0" w:type="auto"/>
        <w:jc w:val="center"/>
        <w:tblLook w:val="04A0" w:firstRow="1" w:lastRow="0" w:firstColumn="1" w:lastColumn="0" w:noHBand="0" w:noVBand="1"/>
      </w:tblPr>
      <w:tblGrid>
        <w:gridCol w:w="2340"/>
        <w:gridCol w:w="2340"/>
        <w:gridCol w:w="2340"/>
        <w:gridCol w:w="2340"/>
      </w:tblGrid>
      <w:tr w:rsidR="00BF3A80" w14:paraId="33DF1388" w14:textId="77777777">
        <w:trPr>
          <w:jc w:val="center"/>
        </w:trPr>
        <w:tc>
          <w:tcPr>
            <w:tcW w:w="2340" w:type="dxa"/>
            <w:shd w:val="clear" w:color="auto" w:fill="F0F4FF"/>
          </w:tcPr>
          <w:p w14:paraId="34EDDFB9" w14:textId="77777777" w:rsidR="00BF3A80" w:rsidRDefault="00000000">
            <w:pPr>
              <w:jc w:val="center"/>
            </w:pPr>
            <w:r>
              <w:rPr>
                <w:b/>
                <w:color w:val="6366F1"/>
                <w:sz w:val="36"/>
              </w:rPr>
              <w:t>7,043</w:t>
            </w:r>
          </w:p>
        </w:tc>
        <w:tc>
          <w:tcPr>
            <w:tcW w:w="2340" w:type="dxa"/>
            <w:shd w:val="clear" w:color="auto" w:fill="F0F4FF"/>
          </w:tcPr>
          <w:p w14:paraId="24AC8DCE" w14:textId="77777777" w:rsidR="00BF3A80" w:rsidRDefault="00000000">
            <w:pPr>
              <w:jc w:val="center"/>
            </w:pPr>
            <w:r>
              <w:rPr>
                <w:b/>
                <w:color w:val="6366F1"/>
                <w:sz w:val="36"/>
              </w:rPr>
              <w:t>84.2%</w:t>
            </w:r>
          </w:p>
        </w:tc>
        <w:tc>
          <w:tcPr>
            <w:tcW w:w="2340" w:type="dxa"/>
            <w:shd w:val="clear" w:color="auto" w:fill="F0F4FF"/>
          </w:tcPr>
          <w:p w14:paraId="0AC8EA43" w14:textId="77777777" w:rsidR="00BF3A80" w:rsidRDefault="00000000">
            <w:pPr>
              <w:jc w:val="center"/>
            </w:pPr>
            <w:r>
              <w:rPr>
                <w:b/>
                <w:color w:val="6366F1"/>
                <w:sz w:val="36"/>
              </w:rPr>
              <w:t>26.5%</w:t>
            </w:r>
          </w:p>
        </w:tc>
        <w:tc>
          <w:tcPr>
            <w:tcW w:w="2340" w:type="dxa"/>
            <w:shd w:val="clear" w:color="auto" w:fill="F0F4FF"/>
          </w:tcPr>
          <w:p w14:paraId="58CFB852" w14:textId="77777777" w:rsidR="00BF3A80" w:rsidRDefault="00000000">
            <w:pPr>
              <w:jc w:val="center"/>
            </w:pPr>
            <w:r>
              <w:rPr>
                <w:b/>
                <w:color w:val="6366F1"/>
                <w:sz w:val="36"/>
              </w:rPr>
              <w:t>$1.2M+</w:t>
            </w:r>
          </w:p>
        </w:tc>
      </w:tr>
      <w:tr w:rsidR="00BF3A80" w14:paraId="43736415" w14:textId="77777777">
        <w:trPr>
          <w:jc w:val="center"/>
        </w:trPr>
        <w:tc>
          <w:tcPr>
            <w:tcW w:w="2340" w:type="dxa"/>
            <w:shd w:val="clear" w:color="auto" w:fill="F8FAFC"/>
          </w:tcPr>
          <w:p w14:paraId="0FFD17E9" w14:textId="77777777" w:rsidR="00BF3A80" w:rsidRDefault="00000000">
            <w:pPr>
              <w:jc w:val="center"/>
            </w:pPr>
            <w:r>
              <w:rPr>
                <w:color w:val="64748B"/>
                <w:sz w:val="20"/>
              </w:rPr>
              <w:t>Customer Records</w:t>
            </w:r>
          </w:p>
        </w:tc>
        <w:tc>
          <w:tcPr>
            <w:tcW w:w="2340" w:type="dxa"/>
            <w:shd w:val="clear" w:color="auto" w:fill="F8FAFC"/>
          </w:tcPr>
          <w:p w14:paraId="7B8AEE67" w14:textId="77777777" w:rsidR="00BF3A80" w:rsidRDefault="00000000">
            <w:pPr>
              <w:jc w:val="center"/>
            </w:pPr>
            <w:r>
              <w:rPr>
                <w:color w:val="64748B"/>
                <w:sz w:val="20"/>
              </w:rPr>
              <w:t>ROC-AUC Score</w:t>
            </w:r>
          </w:p>
        </w:tc>
        <w:tc>
          <w:tcPr>
            <w:tcW w:w="2340" w:type="dxa"/>
            <w:shd w:val="clear" w:color="auto" w:fill="F8FAFC"/>
          </w:tcPr>
          <w:p w14:paraId="1BE8DE6E" w14:textId="77777777" w:rsidR="00BF3A80" w:rsidRDefault="00000000">
            <w:pPr>
              <w:jc w:val="center"/>
            </w:pPr>
            <w:r>
              <w:rPr>
                <w:color w:val="64748B"/>
                <w:sz w:val="20"/>
              </w:rPr>
              <w:t>Churn Rate</w:t>
            </w:r>
          </w:p>
        </w:tc>
        <w:tc>
          <w:tcPr>
            <w:tcW w:w="2340" w:type="dxa"/>
            <w:shd w:val="clear" w:color="auto" w:fill="F8FAFC"/>
          </w:tcPr>
          <w:p w14:paraId="4FA9E2EC" w14:textId="77777777" w:rsidR="00BF3A80" w:rsidRDefault="00000000">
            <w:pPr>
              <w:jc w:val="center"/>
            </w:pPr>
            <w:r>
              <w:rPr>
                <w:color w:val="64748B"/>
                <w:sz w:val="20"/>
              </w:rPr>
              <w:t>Monthly Revenue</w:t>
            </w:r>
          </w:p>
        </w:tc>
      </w:tr>
    </w:tbl>
    <w:p w14:paraId="3CD34622" w14:textId="77777777" w:rsidR="00BF3A80" w:rsidRDefault="00000000">
      <w:r>
        <w:br w:type="page"/>
      </w:r>
    </w:p>
    <w:p w14:paraId="10364B4A" w14:textId="77777777" w:rsidR="00BF3A80" w:rsidRDefault="00000000">
      <w:pPr>
        <w:pStyle w:val="Heading1"/>
      </w:pPr>
      <w:r>
        <w:lastRenderedPageBreak/>
        <w:t>System Architecture &amp; Design</w:t>
      </w:r>
    </w:p>
    <w:p w14:paraId="0DF30D8F" w14:textId="77777777" w:rsidR="00BF3A80" w:rsidRDefault="00BF3A80">
      <w:pPr>
        <w:pBdr>
          <w:bottom w:val="single" w:sz="6" w:space="1" w:color="667EEA"/>
        </w:pBdr>
      </w:pPr>
    </w:p>
    <w:p w14:paraId="405BD8DA" w14:textId="77777777" w:rsidR="00BF3A80" w:rsidRDefault="00000000">
      <w:pPr>
        <w:pStyle w:val="Heading2"/>
      </w:pPr>
      <w:r>
        <w:t>System Architecture Overview</w:t>
      </w:r>
    </w:p>
    <w:p w14:paraId="1E9AFBFD" w14:textId="77777777" w:rsidR="00BF3A80" w:rsidRDefault="00000000">
      <w:r>
        <w:rPr>
          <w:rFonts w:ascii="Consolas" w:hAnsi="Consolas"/>
          <w:color w:val="1F4E79"/>
          <w:sz w:val="14"/>
        </w:rPr>
        <w:t>+-----------------------------------------------------------------+</w:t>
      </w:r>
      <w:r>
        <w:rPr>
          <w:rFonts w:ascii="Consolas" w:hAnsi="Consolas"/>
          <w:color w:val="1F4E79"/>
          <w:sz w:val="14"/>
        </w:rPr>
        <w:br/>
        <w:t>|              RETENTIX AI - System Architecture                   |</w:t>
      </w:r>
      <w:r>
        <w:rPr>
          <w:rFonts w:ascii="Consolas" w:hAnsi="Consolas"/>
          <w:color w:val="1F4E79"/>
          <w:sz w:val="14"/>
        </w:rPr>
        <w:br/>
        <w:t>+-----------------------------------------------------------------+</w:t>
      </w:r>
      <w:r>
        <w:rPr>
          <w:rFonts w:ascii="Consolas" w:hAnsi="Consolas"/>
          <w:color w:val="1F4E79"/>
          <w:sz w:val="14"/>
        </w:rPr>
        <w:br/>
        <w:t>|                                                                   |</w:t>
      </w:r>
      <w:r>
        <w:rPr>
          <w:rFonts w:ascii="Consolas" w:hAnsi="Consolas"/>
          <w:color w:val="1F4E79"/>
          <w:sz w:val="14"/>
        </w:rPr>
        <w:br/>
        <w:t>|  +--------------+      +--------------+      +--------------+   |</w:t>
      </w:r>
      <w:r>
        <w:rPr>
          <w:rFonts w:ascii="Consolas" w:hAnsi="Consolas"/>
          <w:color w:val="1F4E79"/>
          <w:sz w:val="14"/>
        </w:rPr>
        <w:br/>
        <w:t>|  |   FRONTEND   |      |   BACKEND    |      |    MODELS    |   |</w:t>
      </w:r>
      <w:r>
        <w:rPr>
          <w:rFonts w:ascii="Consolas" w:hAnsi="Consolas"/>
          <w:color w:val="1F4E79"/>
          <w:sz w:val="14"/>
        </w:rPr>
        <w:br/>
        <w:t>|  |  (Streamlit) |&lt;----&gt;|   (Python)   |&lt;----&gt;|  (Artifacts) |   |</w:t>
      </w:r>
      <w:r>
        <w:rPr>
          <w:rFonts w:ascii="Consolas" w:hAnsi="Consolas"/>
          <w:color w:val="1F4E79"/>
          <w:sz w:val="14"/>
        </w:rPr>
        <w:br/>
        <w:t>|  +--------------+      +--------------+      +--------------+   |</w:t>
      </w:r>
      <w:r>
        <w:rPr>
          <w:rFonts w:ascii="Consolas" w:hAnsi="Consolas"/>
          <w:color w:val="1F4E79"/>
          <w:sz w:val="14"/>
        </w:rPr>
        <w:br/>
        <w:t>|         |                       |                       |        |</w:t>
      </w:r>
      <w:r>
        <w:rPr>
          <w:rFonts w:ascii="Consolas" w:hAnsi="Consolas"/>
          <w:color w:val="1F4E79"/>
          <w:sz w:val="14"/>
        </w:rPr>
        <w:br/>
        <w:t>|         v                       v                       v        |</w:t>
      </w:r>
      <w:r>
        <w:rPr>
          <w:rFonts w:ascii="Consolas" w:hAnsi="Consolas"/>
          <w:color w:val="1F4E79"/>
          <w:sz w:val="14"/>
        </w:rPr>
        <w:br/>
        <w:t>|  +--------------+      +--------------+      +--------------+   |</w:t>
      </w:r>
      <w:r>
        <w:rPr>
          <w:rFonts w:ascii="Consolas" w:hAnsi="Consolas"/>
          <w:color w:val="1F4E79"/>
          <w:sz w:val="14"/>
        </w:rPr>
        <w:br/>
        <w:t>|  |  UI Views    |      | Prediction   |      | Model Bundle |   |</w:t>
      </w:r>
      <w:r>
        <w:rPr>
          <w:rFonts w:ascii="Consolas" w:hAnsi="Consolas"/>
          <w:color w:val="1F4E79"/>
          <w:sz w:val="14"/>
        </w:rPr>
        <w:br/>
        <w:t>|  |  - Executive |      | Service      |      | - Active Ptr |   |</w:t>
      </w:r>
      <w:r>
        <w:rPr>
          <w:rFonts w:ascii="Consolas" w:hAnsi="Consolas"/>
          <w:color w:val="1F4E79"/>
          <w:sz w:val="14"/>
        </w:rPr>
        <w:br/>
        <w:t>|  |  - EDA       |      | - Single     |      | - Manifest   |   |</w:t>
      </w:r>
      <w:r>
        <w:rPr>
          <w:rFonts w:ascii="Consolas" w:hAnsi="Consolas"/>
          <w:color w:val="1F4E79"/>
          <w:sz w:val="14"/>
        </w:rPr>
        <w:br/>
        <w:t>|  |  - Drivers   |      | - Batch      |      | - Artifacts  |   |</w:t>
      </w:r>
      <w:r>
        <w:rPr>
          <w:rFonts w:ascii="Consolas" w:hAnsi="Consolas"/>
          <w:color w:val="1F4E79"/>
          <w:sz w:val="14"/>
        </w:rPr>
        <w:br/>
        <w:t>|  |  - Predictor |      | - Simulator  |      | - Hashes     |   |</w:t>
      </w:r>
      <w:r>
        <w:rPr>
          <w:rFonts w:ascii="Consolas" w:hAnsi="Consolas"/>
          <w:color w:val="1F4E79"/>
          <w:sz w:val="14"/>
        </w:rPr>
        <w:br/>
        <w:t>|  |  - Models    |      | - XAI (SHAP) |      +--------------+   |</w:t>
      </w:r>
      <w:r>
        <w:rPr>
          <w:rFonts w:ascii="Consolas" w:hAnsi="Consolas"/>
          <w:color w:val="1F4E79"/>
          <w:sz w:val="14"/>
        </w:rPr>
        <w:br/>
        <w:t>|  |  - Strategy  |      +--------------+                          |</w:t>
      </w:r>
      <w:r>
        <w:rPr>
          <w:rFonts w:ascii="Consolas" w:hAnsi="Consolas"/>
          <w:color w:val="1F4E79"/>
          <w:sz w:val="14"/>
        </w:rPr>
        <w:br/>
        <w:t>|  |  - Bulk      |              |                                  |</w:t>
      </w:r>
      <w:r>
        <w:rPr>
          <w:rFonts w:ascii="Consolas" w:hAnsi="Consolas"/>
          <w:color w:val="1F4E79"/>
          <w:sz w:val="14"/>
        </w:rPr>
        <w:br/>
        <w:t>|  +--------------+              v                                  |</w:t>
      </w:r>
      <w:r>
        <w:rPr>
          <w:rFonts w:ascii="Consolas" w:hAnsi="Consolas"/>
          <w:color w:val="1F4E79"/>
          <w:sz w:val="14"/>
        </w:rPr>
        <w:br/>
        <w:t>|         |              +--------------+                           |</w:t>
      </w:r>
      <w:r>
        <w:rPr>
          <w:rFonts w:ascii="Consolas" w:hAnsi="Consolas"/>
          <w:color w:val="1F4E79"/>
          <w:sz w:val="14"/>
        </w:rPr>
        <w:br/>
        <w:t>|         |              | Input        |                           |</w:t>
      </w:r>
      <w:r>
        <w:rPr>
          <w:rFonts w:ascii="Consolas" w:hAnsi="Consolas"/>
          <w:color w:val="1F4E79"/>
          <w:sz w:val="14"/>
        </w:rPr>
        <w:br/>
        <w:t>|         |              | Contract     |                           |</w:t>
      </w:r>
      <w:r>
        <w:rPr>
          <w:rFonts w:ascii="Consolas" w:hAnsi="Consolas"/>
          <w:color w:val="1F4E79"/>
          <w:sz w:val="14"/>
        </w:rPr>
        <w:br/>
        <w:t>|         |              +--------------+                           |</w:t>
      </w:r>
      <w:r>
        <w:rPr>
          <w:rFonts w:ascii="Consolas" w:hAnsi="Consolas"/>
          <w:color w:val="1F4E79"/>
          <w:sz w:val="14"/>
        </w:rPr>
        <w:br/>
        <w:t>|         v                     |                                   |</w:t>
      </w:r>
      <w:r>
        <w:rPr>
          <w:rFonts w:ascii="Consolas" w:hAnsi="Consolas"/>
          <w:color w:val="1F4E79"/>
          <w:sz w:val="14"/>
        </w:rPr>
        <w:br/>
        <w:t>|  +--------------+             |                                   |</w:t>
      </w:r>
      <w:r>
        <w:rPr>
          <w:rFonts w:ascii="Consolas" w:hAnsi="Consolas"/>
          <w:color w:val="1F4E79"/>
          <w:sz w:val="14"/>
        </w:rPr>
        <w:br/>
        <w:t>|  |  CSS Styles  |&lt;------------+                                   |</w:t>
      </w:r>
      <w:r>
        <w:rPr>
          <w:rFonts w:ascii="Consolas" w:hAnsi="Consolas"/>
          <w:color w:val="1F4E79"/>
          <w:sz w:val="14"/>
        </w:rPr>
        <w:br/>
        <w:t>|  +--------------+                                                   |</w:t>
      </w:r>
      <w:r>
        <w:rPr>
          <w:rFonts w:ascii="Consolas" w:hAnsi="Consolas"/>
          <w:color w:val="1F4E79"/>
          <w:sz w:val="14"/>
        </w:rPr>
        <w:br/>
        <w:t>|                        +--------------+                            |</w:t>
      </w:r>
      <w:r>
        <w:rPr>
          <w:rFonts w:ascii="Consolas" w:hAnsi="Consolas"/>
          <w:color w:val="1F4E79"/>
          <w:sz w:val="14"/>
        </w:rPr>
        <w:br/>
        <w:t>|                        |    DATA      |                            |</w:t>
      </w:r>
      <w:r>
        <w:rPr>
          <w:rFonts w:ascii="Consolas" w:hAnsi="Consolas"/>
          <w:color w:val="1F4E79"/>
          <w:sz w:val="14"/>
        </w:rPr>
        <w:br/>
        <w:t>|                        |  (CSV)       |                            |</w:t>
      </w:r>
      <w:r>
        <w:rPr>
          <w:rFonts w:ascii="Consolas" w:hAnsi="Consolas"/>
          <w:color w:val="1F4E79"/>
          <w:sz w:val="14"/>
        </w:rPr>
        <w:br/>
        <w:t>|                        +--------------+                            |</w:t>
      </w:r>
      <w:r>
        <w:rPr>
          <w:rFonts w:ascii="Consolas" w:hAnsi="Consolas"/>
          <w:color w:val="1F4E79"/>
          <w:sz w:val="14"/>
        </w:rPr>
        <w:br/>
        <w:t>+-----------------------------------------------------------------+</w:t>
      </w:r>
    </w:p>
    <w:p w14:paraId="3AC1D5C1" w14:textId="77777777" w:rsidR="00BF3A80" w:rsidRDefault="00BF3A80"/>
    <w:p w14:paraId="39321379" w14:textId="77777777" w:rsidR="00BF3A80" w:rsidRDefault="00000000">
      <w:pPr>
        <w:pStyle w:val="Heading2"/>
      </w:pPr>
      <w:r>
        <w:t>Technology Stack</w:t>
      </w:r>
    </w:p>
    <w:tbl>
      <w:tblPr>
        <w:tblStyle w:val="LightGrid-Accent1"/>
        <w:tblW w:w="0" w:type="auto"/>
        <w:tblLook w:val="04A0" w:firstRow="1" w:lastRow="0" w:firstColumn="1" w:lastColumn="0" w:noHBand="0" w:noVBand="1"/>
      </w:tblPr>
      <w:tblGrid>
        <w:gridCol w:w="3120"/>
        <w:gridCol w:w="3120"/>
        <w:gridCol w:w="3120"/>
      </w:tblGrid>
      <w:tr w:rsidR="00BF3A80" w14:paraId="7D178BF5" w14:textId="77777777" w:rsidTr="00BF3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5121D1F0" w14:textId="77777777" w:rsidR="00BF3A80" w:rsidRDefault="00000000">
            <w:r>
              <w:rPr>
                <w:color w:val="FFFFFF"/>
              </w:rPr>
              <w:t>Layer</w:t>
            </w:r>
          </w:p>
        </w:tc>
        <w:tc>
          <w:tcPr>
            <w:tcW w:w="3120" w:type="dxa"/>
            <w:shd w:val="clear" w:color="auto" w:fill="1F4E79"/>
          </w:tcPr>
          <w:p w14:paraId="197FBAE2" w14:textId="77777777" w:rsidR="00BF3A80"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3120" w:type="dxa"/>
            <w:shd w:val="clear" w:color="auto" w:fill="1F4E79"/>
          </w:tcPr>
          <w:p w14:paraId="543129A5" w14:textId="77777777" w:rsidR="00BF3A80"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BF3A80" w14:paraId="6C7A9439"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614139" w14:textId="77777777" w:rsidR="00BF3A80" w:rsidRDefault="00000000">
            <w:r>
              <w:t>Frontend</w:t>
            </w:r>
          </w:p>
        </w:tc>
        <w:tc>
          <w:tcPr>
            <w:tcW w:w="3120" w:type="dxa"/>
          </w:tcPr>
          <w:p w14:paraId="2D0FEE11" w14:textId="77777777" w:rsidR="00BF3A80" w:rsidRDefault="00000000">
            <w:pPr>
              <w:cnfStyle w:val="000000100000" w:firstRow="0" w:lastRow="0" w:firstColumn="0" w:lastColumn="0" w:oddVBand="0" w:evenVBand="0" w:oddHBand="1" w:evenHBand="0" w:firstRowFirstColumn="0" w:firstRowLastColumn="0" w:lastRowFirstColumn="0" w:lastRowLastColumn="0"/>
            </w:pPr>
            <w:r>
              <w:t>Streamlit 1.28+</w:t>
            </w:r>
          </w:p>
        </w:tc>
        <w:tc>
          <w:tcPr>
            <w:tcW w:w="3120" w:type="dxa"/>
          </w:tcPr>
          <w:p w14:paraId="572CCB28" w14:textId="77777777" w:rsidR="00BF3A80" w:rsidRDefault="00000000">
            <w:pPr>
              <w:cnfStyle w:val="000000100000" w:firstRow="0" w:lastRow="0" w:firstColumn="0" w:lastColumn="0" w:oddVBand="0" w:evenVBand="0" w:oddHBand="1" w:evenHBand="0" w:firstRowFirstColumn="0" w:firstRowLastColumn="0" w:lastRowFirstColumn="0" w:lastRowLastColumn="0"/>
            </w:pPr>
            <w:r>
              <w:t>Interactive web dashboard with real-time updates</w:t>
            </w:r>
          </w:p>
        </w:tc>
      </w:tr>
      <w:tr w:rsidR="00BF3A80" w14:paraId="704DC6C2"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952E9E" w14:textId="77777777" w:rsidR="00BF3A80" w:rsidRDefault="00000000">
            <w:r>
              <w:t>Backend</w:t>
            </w:r>
          </w:p>
        </w:tc>
        <w:tc>
          <w:tcPr>
            <w:tcW w:w="3120" w:type="dxa"/>
          </w:tcPr>
          <w:p w14:paraId="372A2A0F" w14:textId="77777777" w:rsidR="00BF3A80" w:rsidRDefault="00000000">
            <w:pPr>
              <w:cnfStyle w:val="000000010000" w:firstRow="0" w:lastRow="0" w:firstColumn="0" w:lastColumn="0" w:oddVBand="0" w:evenVBand="0" w:oddHBand="0" w:evenHBand="1" w:firstRowFirstColumn="0" w:firstRowLastColumn="0" w:lastRowFirstColumn="0" w:lastRowLastColumn="0"/>
            </w:pPr>
            <w:r>
              <w:t>Python 3.13</w:t>
            </w:r>
          </w:p>
        </w:tc>
        <w:tc>
          <w:tcPr>
            <w:tcW w:w="3120" w:type="dxa"/>
          </w:tcPr>
          <w:p w14:paraId="679C3FF0" w14:textId="77777777" w:rsidR="00BF3A80" w:rsidRDefault="00000000">
            <w:pPr>
              <w:cnfStyle w:val="000000010000" w:firstRow="0" w:lastRow="0" w:firstColumn="0" w:lastColumn="0" w:oddVBand="0" w:evenVBand="0" w:oddHBand="0" w:evenHBand="1" w:firstRowFirstColumn="0" w:firstRowLastColumn="0" w:lastRowFirstColumn="0" w:lastRowLastColumn="0"/>
            </w:pPr>
            <w:r>
              <w:t>Core business logic and ML pipeline</w:t>
            </w:r>
          </w:p>
        </w:tc>
      </w:tr>
      <w:tr w:rsidR="00BF3A80" w14:paraId="38A84B88"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CEE1E1" w14:textId="77777777" w:rsidR="00BF3A80" w:rsidRDefault="00000000">
            <w:r>
              <w:t>ML Framework</w:t>
            </w:r>
          </w:p>
        </w:tc>
        <w:tc>
          <w:tcPr>
            <w:tcW w:w="3120" w:type="dxa"/>
          </w:tcPr>
          <w:p w14:paraId="05BC7A0A" w14:textId="77777777" w:rsidR="00BF3A80" w:rsidRDefault="00000000">
            <w:pPr>
              <w:cnfStyle w:val="000000100000" w:firstRow="0" w:lastRow="0" w:firstColumn="0" w:lastColumn="0" w:oddVBand="0" w:evenVBand="0" w:oddHBand="1" w:evenHBand="0" w:firstRowFirstColumn="0" w:firstRowLastColumn="0" w:lastRowFirstColumn="0" w:lastRowLastColumn="0"/>
            </w:pPr>
            <w:r>
              <w:t>Scikit-learn 1.6.1</w:t>
            </w:r>
          </w:p>
        </w:tc>
        <w:tc>
          <w:tcPr>
            <w:tcW w:w="3120" w:type="dxa"/>
          </w:tcPr>
          <w:p w14:paraId="2AA28A81" w14:textId="77777777" w:rsidR="00BF3A80" w:rsidRDefault="00000000">
            <w:pPr>
              <w:cnfStyle w:val="000000100000" w:firstRow="0" w:lastRow="0" w:firstColumn="0" w:lastColumn="0" w:oddVBand="0" w:evenVBand="0" w:oddHBand="1" w:evenHBand="0" w:firstRowFirstColumn="0" w:firstRowLastColumn="0" w:lastRowFirstColumn="0" w:lastRowLastColumn="0"/>
            </w:pPr>
            <w:r>
              <w:t>Model training, preprocessing, and inference</w:t>
            </w:r>
          </w:p>
        </w:tc>
      </w:tr>
      <w:tr w:rsidR="00BF3A80" w14:paraId="215C9131"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6683FD" w14:textId="77777777" w:rsidR="00BF3A80" w:rsidRDefault="00000000">
            <w:r>
              <w:t>Data Processing</w:t>
            </w:r>
          </w:p>
        </w:tc>
        <w:tc>
          <w:tcPr>
            <w:tcW w:w="3120" w:type="dxa"/>
          </w:tcPr>
          <w:p w14:paraId="16E243C0" w14:textId="77777777" w:rsidR="00BF3A80" w:rsidRDefault="00000000">
            <w:pPr>
              <w:cnfStyle w:val="000000010000" w:firstRow="0" w:lastRow="0" w:firstColumn="0" w:lastColumn="0" w:oddVBand="0" w:evenVBand="0" w:oddHBand="0" w:evenHBand="1" w:firstRowFirstColumn="0" w:firstRowLastColumn="0" w:lastRowFirstColumn="0" w:lastRowLastColumn="0"/>
            </w:pPr>
            <w:r>
              <w:t>Pandas 2.x, NumPy 2.x</w:t>
            </w:r>
          </w:p>
        </w:tc>
        <w:tc>
          <w:tcPr>
            <w:tcW w:w="3120" w:type="dxa"/>
          </w:tcPr>
          <w:p w14:paraId="014DD121" w14:textId="77777777" w:rsidR="00BF3A80" w:rsidRDefault="00000000">
            <w:pPr>
              <w:cnfStyle w:val="000000010000" w:firstRow="0" w:lastRow="0" w:firstColumn="0" w:lastColumn="0" w:oddVBand="0" w:evenVBand="0" w:oddHBand="0" w:evenHBand="1" w:firstRowFirstColumn="0" w:firstRowLastColumn="0" w:lastRowFirstColumn="0" w:lastRowLastColumn="0"/>
            </w:pPr>
            <w:r>
              <w:t>Data manipulation and numerical operations</w:t>
            </w:r>
          </w:p>
        </w:tc>
      </w:tr>
      <w:tr w:rsidR="00BF3A80" w14:paraId="7CC163BA"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3AD319" w14:textId="77777777" w:rsidR="00BF3A80" w:rsidRDefault="00000000">
            <w:r>
              <w:t>Visualization</w:t>
            </w:r>
          </w:p>
        </w:tc>
        <w:tc>
          <w:tcPr>
            <w:tcW w:w="3120" w:type="dxa"/>
          </w:tcPr>
          <w:p w14:paraId="26C16AAB" w14:textId="77777777" w:rsidR="00BF3A80" w:rsidRDefault="00000000">
            <w:pPr>
              <w:cnfStyle w:val="000000100000" w:firstRow="0" w:lastRow="0" w:firstColumn="0" w:lastColumn="0" w:oddVBand="0" w:evenVBand="0" w:oddHBand="1" w:evenHBand="0" w:firstRowFirstColumn="0" w:firstRowLastColumn="0" w:lastRowFirstColumn="0" w:lastRowLastColumn="0"/>
            </w:pPr>
            <w:r>
              <w:t>Plotly 5.x, Matplotlib, Seaborn</w:t>
            </w:r>
          </w:p>
        </w:tc>
        <w:tc>
          <w:tcPr>
            <w:tcW w:w="3120" w:type="dxa"/>
          </w:tcPr>
          <w:p w14:paraId="6525F8A9" w14:textId="77777777" w:rsidR="00BF3A80" w:rsidRDefault="00000000">
            <w:pPr>
              <w:cnfStyle w:val="000000100000" w:firstRow="0" w:lastRow="0" w:firstColumn="0" w:lastColumn="0" w:oddVBand="0" w:evenVBand="0" w:oddHBand="1" w:evenHBand="0" w:firstRowFirstColumn="0" w:firstRowLastColumn="0" w:lastRowFirstColumn="0" w:lastRowLastColumn="0"/>
            </w:pPr>
            <w:r>
              <w:t>Interactive and static charts</w:t>
            </w:r>
          </w:p>
        </w:tc>
      </w:tr>
      <w:tr w:rsidR="00BF3A80" w14:paraId="1A75C9C2"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1BCBD6" w14:textId="77777777" w:rsidR="00BF3A80" w:rsidRDefault="00000000">
            <w:r>
              <w:t>Explainability</w:t>
            </w:r>
          </w:p>
        </w:tc>
        <w:tc>
          <w:tcPr>
            <w:tcW w:w="3120" w:type="dxa"/>
          </w:tcPr>
          <w:p w14:paraId="1F678E8F" w14:textId="77777777" w:rsidR="00BF3A80" w:rsidRDefault="00000000">
            <w:pPr>
              <w:cnfStyle w:val="000000010000" w:firstRow="0" w:lastRow="0" w:firstColumn="0" w:lastColumn="0" w:oddVBand="0" w:evenVBand="0" w:oddHBand="0" w:evenHBand="1" w:firstRowFirstColumn="0" w:firstRowLastColumn="0" w:lastRowFirstColumn="0" w:lastRowLastColumn="0"/>
            </w:pPr>
            <w:r>
              <w:t>SHAP 0.48+</w:t>
            </w:r>
          </w:p>
        </w:tc>
        <w:tc>
          <w:tcPr>
            <w:tcW w:w="3120" w:type="dxa"/>
          </w:tcPr>
          <w:p w14:paraId="62D4D82B" w14:textId="77777777" w:rsidR="00BF3A80" w:rsidRDefault="00000000">
            <w:pPr>
              <w:cnfStyle w:val="000000010000" w:firstRow="0" w:lastRow="0" w:firstColumn="0" w:lastColumn="0" w:oddVBand="0" w:evenVBand="0" w:oddHBand="0" w:evenHBand="1" w:firstRowFirstColumn="0" w:firstRowLastColumn="0" w:lastRowFirstColumn="0" w:lastRowLastColumn="0"/>
            </w:pPr>
            <w:r>
              <w:t>Model interpretation and feature importance</w:t>
            </w:r>
          </w:p>
        </w:tc>
      </w:tr>
      <w:tr w:rsidR="00BF3A80" w14:paraId="02A40709"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C9CCAD" w14:textId="77777777" w:rsidR="00BF3A80" w:rsidRDefault="00000000">
            <w:r>
              <w:t>Serialization</w:t>
            </w:r>
          </w:p>
        </w:tc>
        <w:tc>
          <w:tcPr>
            <w:tcW w:w="3120" w:type="dxa"/>
          </w:tcPr>
          <w:p w14:paraId="5FBDE156" w14:textId="77777777" w:rsidR="00BF3A80" w:rsidRDefault="00000000">
            <w:pPr>
              <w:cnfStyle w:val="000000100000" w:firstRow="0" w:lastRow="0" w:firstColumn="0" w:lastColumn="0" w:oddVBand="0" w:evenVBand="0" w:oddHBand="1" w:evenHBand="0" w:firstRowFirstColumn="0" w:firstRowLastColumn="0" w:lastRowFirstColumn="0" w:lastRowLastColumn="0"/>
            </w:pPr>
            <w:r>
              <w:t>Joblib 1.3+</w:t>
            </w:r>
          </w:p>
        </w:tc>
        <w:tc>
          <w:tcPr>
            <w:tcW w:w="3120" w:type="dxa"/>
          </w:tcPr>
          <w:p w14:paraId="127A8DF1" w14:textId="77777777" w:rsidR="00BF3A80" w:rsidRDefault="00000000">
            <w:pPr>
              <w:cnfStyle w:val="000000100000" w:firstRow="0" w:lastRow="0" w:firstColumn="0" w:lastColumn="0" w:oddVBand="0" w:evenVBand="0" w:oddHBand="1" w:evenHBand="0" w:firstRowFirstColumn="0" w:firstRowLastColumn="0" w:lastRowFirstColumn="0" w:lastRowLastColumn="0"/>
            </w:pPr>
            <w:r>
              <w:t>Model and pipeline persistence</w:t>
            </w:r>
          </w:p>
        </w:tc>
      </w:tr>
      <w:tr w:rsidR="00BF3A80" w14:paraId="2EFA20F3"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AE8563" w14:textId="77777777" w:rsidR="00BF3A80" w:rsidRDefault="00000000">
            <w:r>
              <w:t>Testing</w:t>
            </w:r>
          </w:p>
        </w:tc>
        <w:tc>
          <w:tcPr>
            <w:tcW w:w="3120" w:type="dxa"/>
          </w:tcPr>
          <w:p w14:paraId="67400BBE" w14:textId="77777777" w:rsidR="00BF3A80" w:rsidRDefault="00000000">
            <w:pPr>
              <w:cnfStyle w:val="000000010000" w:firstRow="0" w:lastRow="0" w:firstColumn="0" w:lastColumn="0" w:oddVBand="0" w:evenVBand="0" w:oddHBand="0" w:evenHBand="1" w:firstRowFirstColumn="0" w:firstRowLastColumn="0" w:lastRowFirstColumn="0" w:lastRowLastColumn="0"/>
            </w:pPr>
            <w:r>
              <w:t>Pytest 8.0+</w:t>
            </w:r>
          </w:p>
        </w:tc>
        <w:tc>
          <w:tcPr>
            <w:tcW w:w="3120" w:type="dxa"/>
          </w:tcPr>
          <w:p w14:paraId="1F0F74A2" w14:textId="77777777" w:rsidR="00BF3A80" w:rsidRDefault="00000000">
            <w:pPr>
              <w:cnfStyle w:val="000000010000" w:firstRow="0" w:lastRow="0" w:firstColumn="0" w:lastColumn="0" w:oddVBand="0" w:evenVBand="0" w:oddHBand="0" w:evenHBand="1" w:firstRowFirstColumn="0" w:firstRowLastColumn="0" w:lastRowFirstColumn="0" w:lastRowLastColumn="0"/>
            </w:pPr>
            <w:r>
              <w:t>Automated unit and integration tests</w:t>
            </w:r>
          </w:p>
        </w:tc>
      </w:tr>
    </w:tbl>
    <w:p w14:paraId="4CCEE9A9" w14:textId="77777777" w:rsidR="00BF3A80" w:rsidRDefault="00BF3A80"/>
    <w:p w14:paraId="38E6DB00" w14:textId="77777777" w:rsidR="00BF3A80" w:rsidRDefault="00000000">
      <w:pPr>
        <w:pStyle w:val="Heading2"/>
      </w:pPr>
      <w:r>
        <w:lastRenderedPageBreak/>
        <w:t>Module Architecture</w:t>
      </w:r>
    </w:p>
    <w:p w14:paraId="0B6C6A57" w14:textId="77777777" w:rsidR="00BF3A80" w:rsidRDefault="00000000">
      <w:r>
        <w:t>The system follows a modular architecture with clear separation of concerns:</w:t>
      </w:r>
      <w:r>
        <w:br/>
      </w:r>
      <w:r>
        <w:br/>
        <w:t>- Frontend Layer (frontend/): Contains 7 view modules handling UI presentation, including executive dashboards, exploratory data analysis, churn drivers visualization, AI prediction interface, model evaluation, retention strategy, and bulk prediction studio.</w:t>
      </w:r>
      <w:r>
        <w:br/>
      </w:r>
      <w:r>
        <w:br/>
        <w:t>- Backend Layer (backend/): Implements core business logic including data loading, model training, prediction services, input validation contracts, explainability (SHAP), and model bundle management with integrity verification.</w:t>
      </w:r>
      <w:r>
        <w:br/>
      </w:r>
      <w:r>
        <w:br/>
        <w:t>- Models Layer (models/): Manages ML artifacts through a bundle-based architecture with active pointer system, ensuring safe deployment and rollback capabilities.</w:t>
      </w:r>
      <w:r>
        <w:br/>
      </w:r>
      <w:r>
        <w:br/>
        <w:t>- Data Layer (data/): Houses the cleaned telecommunications customer dataset with 19 features including demographic, service, and billing attributes.</w:t>
      </w:r>
      <w:r>
        <w:br/>
      </w:r>
      <w:r>
        <w:br/>
        <w:t>- Tests Layer (tests/): Comprehensive test suite covering champion contracts, input validation, prediction services, SHAP explainability, and smoke tests.</w:t>
      </w:r>
    </w:p>
    <w:p w14:paraId="59384F31" w14:textId="77777777" w:rsidR="00BF3A80" w:rsidRDefault="00000000">
      <w:r>
        <w:br w:type="page"/>
      </w:r>
    </w:p>
    <w:p w14:paraId="6042DE7E" w14:textId="77777777" w:rsidR="00BF3A80" w:rsidRDefault="00000000">
      <w:pPr>
        <w:pStyle w:val="Heading1"/>
      </w:pPr>
      <w:r>
        <w:lastRenderedPageBreak/>
        <w:t>Churn Drivers &amp; Feature Importance</w:t>
      </w:r>
    </w:p>
    <w:p w14:paraId="005E83DC" w14:textId="77777777" w:rsidR="00BF3A80" w:rsidRDefault="00BF3A80">
      <w:pPr>
        <w:pBdr>
          <w:bottom w:val="single" w:sz="6" w:space="1" w:color="667EEA"/>
        </w:pBdr>
      </w:pPr>
    </w:p>
    <w:p w14:paraId="44F53A9B" w14:textId="77777777" w:rsidR="00BF3A80" w:rsidRDefault="00000000">
      <w:r>
        <w:t>Understanding the key drivers of customer churn is critical for developing effective retention strategies. The analysis reveals several critical factors.</w:t>
      </w:r>
    </w:p>
    <w:p w14:paraId="0ED6222E" w14:textId="77777777" w:rsidR="00BF3A80" w:rsidRDefault="00000000">
      <w:pPr>
        <w:pStyle w:val="Heading2"/>
      </w:pPr>
      <w:r>
        <w:t>Feature Importance Analysis</w:t>
      </w:r>
    </w:p>
    <w:p w14:paraId="47EA06B8" w14:textId="77777777" w:rsidR="00BF3A80" w:rsidRDefault="00000000">
      <w:pPr>
        <w:jc w:val="center"/>
      </w:pPr>
      <w:r>
        <w:rPr>
          <w:noProof/>
        </w:rPr>
        <w:drawing>
          <wp:inline distT="0" distB="0" distL="0" distR="0" wp14:anchorId="53DCD127" wp14:editId="5950B9AE">
            <wp:extent cx="4572000" cy="36378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6"/>
                    <a:stretch>
                      <a:fillRect/>
                    </a:stretch>
                  </pic:blipFill>
                  <pic:spPr>
                    <a:xfrm>
                      <a:off x="0" y="0"/>
                      <a:ext cx="4572000" cy="3637802"/>
                    </a:xfrm>
                    <a:prstGeom prst="rect">
                      <a:avLst/>
                    </a:prstGeom>
                  </pic:spPr>
                </pic:pic>
              </a:graphicData>
            </a:graphic>
          </wp:inline>
        </w:drawing>
      </w:r>
    </w:p>
    <w:p w14:paraId="781089AC" w14:textId="77777777" w:rsidR="00BF3A80" w:rsidRDefault="00000000">
      <w:pPr>
        <w:jc w:val="center"/>
      </w:pPr>
      <w:r>
        <w:rPr>
          <w:i/>
          <w:color w:val="888888"/>
          <w:sz w:val="18"/>
        </w:rPr>
        <w:t>Figure 5: Top features driving churn predictions based on model importance scores</w:t>
      </w:r>
    </w:p>
    <w:p w14:paraId="2D7E7A9B" w14:textId="77777777" w:rsidR="00BF3A80" w:rsidRDefault="00BF3A80"/>
    <w:p w14:paraId="68324E2B" w14:textId="77777777" w:rsidR="00BF3A80" w:rsidRDefault="00000000">
      <w:pPr>
        <w:pStyle w:val="Heading2"/>
      </w:pPr>
      <w:r>
        <w:t>Key Churn Drivers Identified</w:t>
      </w:r>
    </w:p>
    <w:p w14:paraId="6CEDBADC" w14:textId="77777777" w:rsidR="00BF3A80" w:rsidRDefault="00000000">
      <w:pPr>
        <w:pStyle w:val="ListBullet"/>
      </w:pPr>
      <w:r>
        <w:t>1. Contract Type: Month-to-month contracts show 45%+ churn rate vs. 5% for 2-year contracts.</w:t>
      </w:r>
    </w:p>
    <w:p w14:paraId="772671B2" w14:textId="77777777" w:rsidR="00BF3A80" w:rsidRDefault="00000000">
      <w:pPr>
        <w:pStyle w:val="ListBullet"/>
      </w:pPr>
      <w:r>
        <w:t>2. Internet Service: Fiber optic customers churn at 2x the rate of DSL customers.</w:t>
      </w:r>
    </w:p>
    <w:p w14:paraId="18E4A989" w14:textId="77777777" w:rsidR="00BF3A80" w:rsidRDefault="00000000">
      <w:pPr>
        <w:pStyle w:val="ListBullet"/>
      </w:pPr>
      <w:r>
        <w:t>3. Payment Method: Electronic check users show 2x higher churn than auto-pay methods.</w:t>
      </w:r>
    </w:p>
    <w:p w14:paraId="1748A797" w14:textId="77777777" w:rsidR="00BF3A80" w:rsidRDefault="00000000">
      <w:pPr>
        <w:pStyle w:val="ListBullet"/>
      </w:pPr>
      <w:r>
        <w:t>4. Tech Support: Customers without tech support churn at 40%+ vs. 15% with support.</w:t>
      </w:r>
    </w:p>
    <w:p w14:paraId="595215E2" w14:textId="77777777" w:rsidR="00BF3A80" w:rsidRDefault="00000000">
      <w:pPr>
        <w:pStyle w:val="ListBullet"/>
      </w:pPr>
      <w:r>
        <w:t>5. Tenure: New customers (0-6 months) are at highest risk of churn.</w:t>
      </w:r>
    </w:p>
    <w:p w14:paraId="3D1E6AA0" w14:textId="77777777" w:rsidR="00BF3A80" w:rsidRDefault="00000000">
      <w:pPr>
        <w:pStyle w:val="ListBullet"/>
      </w:pPr>
      <w:r>
        <w:t>6. Monthly Charges: Higher charges correlate with increased churn probability.</w:t>
      </w:r>
    </w:p>
    <w:p w14:paraId="52ED48B3" w14:textId="77777777" w:rsidR="00BF3A80" w:rsidRDefault="00000000">
      <w:pPr>
        <w:pStyle w:val="ListBullet"/>
      </w:pPr>
      <w:r>
        <w:t>7. Online Security: Bundling security services reduces churn by 30%+.</w:t>
      </w:r>
    </w:p>
    <w:p w14:paraId="740AED4A" w14:textId="77777777" w:rsidR="00BF3A80" w:rsidRDefault="00000000">
      <w:pPr>
        <w:pStyle w:val="Heading2"/>
      </w:pPr>
      <w:r>
        <w:lastRenderedPageBreak/>
        <w:t>Service Churn Rates</w:t>
      </w:r>
    </w:p>
    <w:p w14:paraId="623E3029" w14:textId="77777777" w:rsidR="00BF3A80" w:rsidRDefault="00000000">
      <w:pPr>
        <w:jc w:val="center"/>
      </w:pPr>
      <w:r>
        <w:rPr>
          <w:noProof/>
        </w:rPr>
        <w:drawing>
          <wp:inline distT="0" distB="0" distL="0" distR="0" wp14:anchorId="08F0335D" wp14:editId="01EF2086">
            <wp:extent cx="4572000" cy="2517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churn_rates.png"/>
                    <pic:cNvPicPr/>
                  </pic:nvPicPr>
                  <pic:blipFill>
                    <a:blip r:embed="rId7"/>
                    <a:stretch>
                      <a:fillRect/>
                    </a:stretch>
                  </pic:blipFill>
                  <pic:spPr>
                    <a:xfrm>
                      <a:off x="0" y="0"/>
                      <a:ext cx="4572000" cy="2517418"/>
                    </a:xfrm>
                    <a:prstGeom prst="rect">
                      <a:avLst/>
                    </a:prstGeom>
                  </pic:spPr>
                </pic:pic>
              </a:graphicData>
            </a:graphic>
          </wp:inline>
        </w:drawing>
      </w:r>
    </w:p>
    <w:p w14:paraId="06CA6D8A" w14:textId="77777777" w:rsidR="00BF3A80" w:rsidRDefault="00000000">
      <w:pPr>
        <w:jc w:val="center"/>
      </w:pPr>
      <w:r>
        <w:rPr>
          <w:i/>
          <w:color w:val="888888"/>
          <w:sz w:val="18"/>
        </w:rPr>
        <w:t>Figure 6: Churn rates breakdown by service type and add-on features</w:t>
      </w:r>
    </w:p>
    <w:p w14:paraId="1ED8F60A" w14:textId="77777777" w:rsidR="00BF3A80" w:rsidRDefault="00BF3A80"/>
    <w:p w14:paraId="0463AC3D" w14:textId="77777777" w:rsidR="00BF3A80" w:rsidRDefault="00000000">
      <w:r>
        <w:br w:type="page"/>
      </w:r>
    </w:p>
    <w:p w14:paraId="7ED34206" w14:textId="77777777" w:rsidR="00BF3A80" w:rsidRDefault="00000000">
      <w:pPr>
        <w:pStyle w:val="Heading1"/>
      </w:pPr>
      <w:r>
        <w:lastRenderedPageBreak/>
        <w:t>Application Features &amp; Strategic Recommendations</w:t>
      </w:r>
    </w:p>
    <w:p w14:paraId="0998E448" w14:textId="77777777" w:rsidR="00BF3A80" w:rsidRDefault="00BF3A80">
      <w:pPr>
        <w:pBdr>
          <w:bottom w:val="single" w:sz="6" w:space="1" w:color="667EEA"/>
        </w:pBdr>
      </w:pPr>
    </w:p>
    <w:p w14:paraId="497A5AA0" w14:textId="77777777" w:rsidR="00BF3A80" w:rsidRDefault="00000000">
      <w:pPr>
        <w:pStyle w:val="Heading2"/>
      </w:pPr>
      <w:r>
        <w:t>Key Application Modules</w:t>
      </w:r>
    </w:p>
    <w:tbl>
      <w:tblPr>
        <w:tblStyle w:val="LightGrid-Accent1"/>
        <w:tblW w:w="0" w:type="auto"/>
        <w:tblLook w:val="04A0" w:firstRow="1" w:lastRow="0" w:firstColumn="1" w:lastColumn="0" w:noHBand="0" w:noVBand="1"/>
      </w:tblPr>
      <w:tblGrid>
        <w:gridCol w:w="4680"/>
        <w:gridCol w:w="4680"/>
      </w:tblGrid>
      <w:tr w:rsidR="00BF3A80" w14:paraId="41A2FC2C" w14:textId="77777777" w:rsidTr="00BF3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1F4E79"/>
          </w:tcPr>
          <w:p w14:paraId="75F37600" w14:textId="77777777" w:rsidR="00BF3A80" w:rsidRDefault="00000000">
            <w:r>
              <w:rPr>
                <w:color w:val="FFFFFF"/>
              </w:rPr>
              <w:t>Module</w:t>
            </w:r>
          </w:p>
        </w:tc>
        <w:tc>
          <w:tcPr>
            <w:tcW w:w="4680" w:type="dxa"/>
            <w:shd w:val="clear" w:color="auto" w:fill="1F4E79"/>
          </w:tcPr>
          <w:p w14:paraId="1802E1F4" w14:textId="77777777" w:rsidR="00BF3A80" w:rsidRDefault="00000000">
            <w:pPr>
              <w:cnfStyle w:val="100000000000" w:firstRow="1" w:lastRow="0" w:firstColumn="0" w:lastColumn="0" w:oddVBand="0" w:evenVBand="0" w:oddHBand="0" w:evenHBand="0" w:firstRowFirstColumn="0" w:firstRowLastColumn="0" w:lastRowFirstColumn="0" w:lastRowLastColumn="0"/>
            </w:pPr>
            <w:r>
              <w:rPr>
                <w:color w:val="FFFFFF"/>
              </w:rPr>
              <w:t>Capabilities</w:t>
            </w:r>
          </w:p>
        </w:tc>
      </w:tr>
      <w:tr w:rsidR="00BF3A80" w14:paraId="714903CD"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B0F61C" w14:textId="77777777" w:rsidR="00BF3A80" w:rsidRDefault="00000000">
            <w:r>
              <w:t>Executive Command Center</w:t>
            </w:r>
          </w:p>
        </w:tc>
        <w:tc>
          <w:tcPr>
            <w:tcW w:w="4680" w:type="dxa"/>
          </w:tcPr>
          <w:p w14:paraId="33DE46A5" w14:textId="77777777" w:rsidR="00BF3A80" w:rsidRDefault="00000000">
            <w:pPr>
              <w:cnfStyle w:val="000000100000" w:firstRow="0" w:lastRow="0" w:firstColumn="0" w:lastColumn="0" w:oddVBand="0" w:evenVBand="0" w:oddHBand="1" w:evenHBand="0" w:firstRowFirstColumn="0" w:firstRowLastColumn="0" w:lastRowFirstColumn="0" w:lastRowLastColumn="0"/>
            </w:pPr>
            <w:r>
              <w:t>Real-time KPIs, revenue exposure analysis, portfolio risk distribution, tenure density mapping, strategic alerts</w:t>
            </w:r>
          </w:p>
        </w:tc>
      </w:tr>
      <w:tr w:rsidR="00BF3A80" w14:paraId="46E5D9DA"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23C3D7" w14:textId="77777777" w:rsidR="00BF3A80" w:rsidRDefault="00000000">
            <w:r>
              <w:t>Exploratory Intelligence</w:t>
            </w:r>
          </w:p>
        </w:tc>
        <w:tc>
          <w:tcPr>
            <w:tcW w:w="4680" w:type="dxa"/>
          </w:tcPr>
          <w:p w14:paraId="0C1CC608" w14:textId="77777777" w:rsidR="00BF3A80" w:rsidRDefault="00000000">
            <w:pPr>
              <w:cnfStyle w:val="000000010000" w:firstRow="0" w:lastRow="0" w:firstColumn="0" w:lastColumn="0" w:oddVBand="0" w:evenVBand="0" w:oddHBand="0" w:evenHBand="1" w:firstRowFirstColumn="0" w:firstRowLastColumn="0" w:lastRowFirstColumn="0" w:lastRowLastColumn="0"/>
            </w:pPr>
            <w:r>
              <w:t>Demographic breakdown, service hierarchy sunburst, correlation matrix, numerical distributions, interactive dataset explorer</w:t>
            </w:r>
          </w:p>
        </w:tc>
      </w:tr>
      <w:tr w:rsidR="00BF3A80" w14:paraId="5C1FD077"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E35BD4" w14:textId="77777777" w:rsidR="00BF3A80" w:rsidRDefault="00000000">
            <w:r>
              <w:t>Churn Drivers &amp; Ecosystem</w:t>
            </w:r>
          </w:p>
        </w:tc>
        <w:tc>
          <w:tcPr>
            <w:tcW w:w="4680" w:type="dxa"/>
          </w:tcPr>
          <w:p w14:paraId="7F46D9D6" w14:textId="77777777" w:rsidR="00BF3A80" w:rsidRDefault="00000000">
            <w:pPr>
              <w:cnfStyle w:val="000000100000" w:firstRow="0" w:lastRow="0" w:firstColumn="0" w:lastColumn="0" w:oddVBand="0" w:evenVBand="0" w:oddHBand="1" w:evenHBand="0" w:firstRowFirstColumn="0" w:firstRowLastColumn="0" w:lastRowFirstColumn="0" w:lastRowLastColumn="0"/>
            </w:pPr>
            <w:r>
              <w:t>Protective shield effect analysis, payment friction study, value vs. tenure risk quadrants</w:t>
            </w:r>
          </w:p>
        </w:tc>
      </w:tr>
      <w:tr w:rsidR="00BF3A80" w14:paraId="51883B63"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8D4A75" w14:textId="77777777" w:rsidR="00BF3A80" w:rsidRDefault="00000000">
            <w:r>
              <w:t>AI Churn Predictor</w:t>
            </w:r>
          </w:p>
        </w:tc>
        <w:tc>
          <w:tcPr>
            <w:tcW w:w="4680" w:type="dxa"/>
          </w:tcPr>
          <w:p w14:paraId="066E538F" w14:textId="77777777" w:rsidR="00BF3A80" w:rsidRDefault="00000000">
            <w:pPr>
              <w:cnfStyle w:val="000000010000" w:firstRow="0" w:lastRow="0" w:firstColumn="0" w:lastColumn="0" w:oddVBand="0" w:evenVBand="0" w:oddHBand="0" w:evenHBand="1" w:firstRowFirstColumn="0" w:firstRowLastColumn="0" w:lastRowFirstColumn="0" w:lastRowLastColumn="0"/>
            </w:pPr>
            <w:r>
              <w:t>Single subscriber profiling, archetype presets, live inference gauge, what-if intervention simulator</w:t>
            </w:r>
          </w:p>
        </w:tc>
      </w:tr>
      <w:tr w:rsidR="00BF3A80" w14:paraId="76644A85"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25B25C5" w14:textId="77777777" w:rsidR="00BF3A80" w:rsidRDefault="00000000">
            <w:r>
              <w:t>Bulk Portfolio Scoring</w:t>
            </w:r>
          </w:p>
        </w:tc>
        <w:tc>
          <w:tcPr>
            <w:tcW w:w="4680" w:type="dxa"/>
          </w:tcPr>
          <w:p w14:paraId="2DC4EA7B" w14:textId="77777777" w:rsidR="00BF3A80" w:rsidRDefault="00000000">
            <w:pPr>
              <w:cnfStyle w:val="000000100000" w:firstRow="0" w:lastRow="0" w:firstColumn="0" w:lastColumn="0" w:oddVBand="0" w:evenVBand="0" w:oddHBand="1" w:evenHBand="0" w:firstRowFirstColumn="0" w:firstRowLastColumn="0" w:lastRowFirstColumn="0" w:lastRowLastColumn="0"/>
            </w:pPr>
            <w:r>
              <w:t>Batch CSV upload, schema validation, automated risk tiering, batch analytics and export</w:t>
            </w:r>
          </w:p>
        </w:tc>
      </w:tr>
      <w:tr w:rsidR="00BF3A80" w14:paraId="34D31FF6"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8BC85B" w14:textId="77777777" w:rsidR="00BF3A80" w:rsidRDefault="00000000">
            <w:r>
              <w:t>Model Leaderboard &amp; XAI</w:t>
            </w:r>
          </w:p>
        </w:tc>
        <w:tc>
          <w:tcPr>
            <w:tcW w:w="4680" w:type="dxa"/>
          </w:tcPr>
          <w:p w14:paraId="0D91FE3D" w14:textId="77777777" w:rsidR="00BF3A80" w:rsidRDefault="00000000">
            <w:pPr>
              <w:cnfStyle w:val="000000010000" w:firstRow="0" w:lastRow="0" w:firstColumn="0" w:lastColumn="0" w:oddVBand="0" w:evenVBand="0" w:oddHBand="0" w:evenHBand="1" w:firstRowFirstColumn="0" w:firstRowLastColumn="0" w:lastRowFirstColumn="0" w:lastRowLastColumn="0"/>
            </w:pPr>
            <w:r>
              <w:t>Performance comparison, SHAP explainability, feature importance, partial dependence plots</w:t>
            </w:r>
          </w:p>
        </w:tc>
      </w:tr>
      <w:tr w:rsidR="00BF3A80" w14:paraId="64435C49"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7DEF62" w14:textId="77777777" w:rsidR="00BF3A80" w:rsidRDefault="00000000">
            <w:r>
              <w:t>Retention ROI &amp; Playbook</w:t>
            </w:r>
          </w:p>
        </w:tc>
        <w:tc>
          <w:tcPr>
            <w:tcW w:w="4680" w:type="dxa"/>
          </w:tcPr>
          <w:p w14:paraId="5455379D" w14:textId="77777777" w:rsidR="00BF3A80" w:rsidRDefault="00000000">
            <w:pPr>
              <w:cnfStyle w:val="000000100000" w:firstRow="0" w:lastRow="0" w:firstColumn="0" w:lastColumn="0" w:oddVBand="0" w:evenVBand="0" w:oddHBand="1" w:evenHBand="0" w:firstRowFirstColumn="0" w:firstRowLastColumn="0" w:lastRowFirstColumn="0" w:lastRowLastColumn="0"/>
            </w:pPr>
            <w:r>
              <w:t>Campaign ROI calculator, retention strategies, predictive alerts, loyalty rewards framework</w:t>
            </w:r>
          </w:p>
        </w:tc>
      </w:tr>
    </w:tbl>
    <w:p w14:paraId="07384160" w14:textId="77777777" w:rsidR="00BF3A80" w:rsidRDefault="00BF3A80"/>
    <w:p w14:paraId="1430C616" w14:textId="77777777" w:rsidR="00BF3A80" w:rsidRDefault="00000000">
      <w:pPr>
        <w:pStyle w:val="Heading2"/>
      </w:pPr>
      <w:r>
        <w:t>Strategic Recommendations</w:t>
      </w:r>
    </w:p>
    <w:tbl>
      <w:tblPr>
        <w:tblStyle w:val="LightGrid-Accent1"/>
        <w:tblW w:w="0" w:type="auto"/>
        <w:tblLook w:val="04A0" w:firstRow="1" w:lastRow="0" w:firstColumn="1" w:lastColumn="0" w:noHBand="0" w:noVBand="1"/>
      </w:tblPr>
      <w:tblGrid>
        <w:gridCol w:w="4680"/>
        <w:gridCol w:w="4680"/>
      </w:tblGrid>
      <w:tr w:rsidR="00BF3A80" w14:paraId="0AF35F0E" w14:textId="77777777" w:rsidTr="00BF3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1F4E79"/>
          </w:tcPr>
          <w:p w14:paraId="2E2BF509" w14:textId="77777777" w:rsidR="00BF3A80" w:rsidRDefault="00000000">
            <w:r>
              <w:rPr>
                <w:color w:val="FFFFFF"/>
              </w:rPr>
              <w:t>Priority</w:t>
            </w:r>
          </w:p>
        </w:tc>
        <w:tc>
          <w:tcPr>
            <w:tcW w:w="4680" w:type="dxa"/>
            <w:shd w:val="clear" w:color="auto" w:fill="1F4E79"/>
          </w:tcPr>
          <w:p w14:paraId="67643934" w14:textId="77777777" w:rsidR="00BF3A80" w:rsidRDefault="00000000">
            <w:pPr>
              <w:cnfStyle w:val="100000000000" w:firstRow="1" w:lastRow="0" w:firstColumn="0" w:lastColumn="0" w:oddVBand="0" w:evenVBand="0" w:oddHBand="0" w:evenHBand="0" w:firstRowFirstColumn="0" w:firstRowLastColumn="0" w:lastRowFirstColumn="0" w:lastRowLastColumn="0"/>
            </w:pPr>
            <w:r>
              <w:rPr>
                <w:color w:val="FFFFFF"/>
              </w:rPr>
              <w:t>Action Plan</w:t>
            </w:r>
          </w:p>
        </w:tc>
      </w:tr>
      <w:tr w:rsidR="00BF3A80" w14:paraId="4E5352A6"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EE2E2"/>
          </w:tcPr>
          <w:p w14:paraId="3592436D" w14:textId="77777777" w:rsidR="00BF3A80" w:rsidRDefault="00000000">
            <w:r>
              <w:rPr>
                <w:color w:val="DC2626"/>
              </w:rPr>
              <w:t>CRITICAL</w:t>
            </w:r>
          </w:p>
        </w:tc>
        <w:tc>
          <w:tcPr>
            <w:tcW w:w="4680" w:type="dxa"/>
          </w:tcPr>
          <w:p w14:paraId="47316DEF" w14:textId="77777777" w:rsidR="00BF3A80" w:rsidRDefault="00000000">
            <w:pPr>
              <w:cnfStyle w:val="000000100000" w:firstRow="0" w:lastRow="0" w:firstColumn="0" w:lastColumn="0" w:oddVBand="0" w:evenVBand="0" w:oddHBand="1" w:evenHBand="0" w:firstRowFirstColumn="0" w:firstRowLastColumn="0" w:lastRowFirstColumn="0" w:lastRowLastColumn="0"/>
            </w:pPr>
            <w:r>
              <w:t>Convert 15% of month-to-month customers to 1-year contracts through targeted discounts. Estimated savings: $180k/year</w:t>
            </w:r>
          </w:p>
        </w:tc>
      </w:tr>
      <w:tr w:rsidR="00BF3A80" w14:paraId="3B67068D"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EF3C7"/>
          </w:tcPr>
          <w:p w14:paraId="6D968890" w14:textId="77777777" w:rsidR="00BF3A80" w:rsidRDefault="00000000">
            <w:r>
              <w:rPr>
                <w:color w:val="D97706"/>
              </w:rPr>
              <w:t>HIGH</w:t>
            </w:r>
          </w:p>
        </w:tc>
        <w:tc>
          <w:tcPr>
            <w:tcW w:w="4680" w:type="dxa"/>
          </w:tcPr>
          <w:p w14:paraId="4301E97C" w14:textId="77777777" w:rsidR="00BF3A80" w:rsidRDefault="00000000">
            <w:pPr>
              <w:cnfStyle w:val="000000010000" w:firstRow="0" w:lastRow="0" w:firstColumn="0" w:lastColumn="0" w:oddVBand="0" w:evenVBand="0" w:oddHBand="0" w:evenHBand="1" w:firstRowFirstColumn="0" w:firstRowLastColumn="0" w:lastRowFirstColumn="0" w:lastRowLastColumn="0"/>
            </w:pPr>
            <w:r>
              <w:t>Bundle Tech Support with Fiber Optic plans to reduce 40% churn rate. Target: 25% reduction in fiber churn</w:t>
            </w:r>
          </w:p>
        </w:tc>
      </w:tr>
      <w:tr w:rsidR="00BF3A80" w14:paraId="43C33304"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EF3C7"/>
          </w:tcPr>
          <w:p w14:paraId="7A731427" w14:textId="77777777" w:rsidR="00BF3A80" w:rsidRDefault="00000000">
            <w:r>
              <w:rPr>
                <w:color w:val="D97706"/>
              </w:rPr>
              <w:t>HIGH</w:t>
            </w:r>
          </w:p>
        </w:tc>
        <w:tc>
          <w:tcPr>
            <w:tcW w:w="4680" w:type="dxa"/>
          </w:tcPr>
          <w:p w14:paraId="2BD92091" w14:textId="77777777" w:rsidR="00BF3A80" w:rsidRDefault="00000000">
            <w:pPr>
              <w:cnfStyle w:val="000000100000" w:firstRow="0" w:lastRow="0" w:firstColumn="0" w:lastColumn="0" w:oddVBand="0" w:evenVBand="0" w:oddHBand="1" w:evenHBand="0" w:firstRowFirstColumn="0" w:firstRowLastColumn="0" w:lastRowFirstColumn="0" w:lastRowLastColumn="0"/>
            </w:pPr>
            <w:r>
              <w:t>Migrate electronic check users to auto-pay with $5/month billing credit. Target: 50% migration in 6 months</w:t>
            </w:r>
          </w:p>
        </w:tc>
      </w:tr>
      <w:tr w:rsidR="00BF3A80" w14:paraId="60DA1E1F"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BEAFE"/>
          </w:tcPr>
          <w:p w14:paraId="32890036" w14:textId="77777777" w:rsidR="00BF3A80" w:rsidRDefault="00000000">
            <w:r>
              <w:rPr>
                <w:color w:val="2563EB"/>
              </w:rPr>
              <w:t>MEDIUM</w:t>
            </w:r>
          </w:p>
        </w:tc>
        <w:tc>
          <w:tcPr>
            <w:tcW w:w="4680" w:type="dxa"/>
          </w:tcPr>
          <w:p w14:paraId="4CD9F6B3" w14:textId="77777777" w:rsidR="00BF3A80" w:rsidRDefault="00000000">
            <w:pPr>
              <w:cnfStyle w:val="000000010000" w:firstRow="0" w:lastRow="0" w:firstColumn="0" w:lastColumn="0" w:oddVBand="0" w:evenVBand="0" w:oddHBand="0" w:evenHBand="1" w:firstRowFirstColumn="0" w:firstRowLastColumn="0" w:lastRowFirstColumn="0" w:lastRowLastColumn="0"/>
            </w:pPr>
            <w:r>
              <w:t>Implement predictive alerts in CRM to flag at-risk customers weekly for proactive outreach</w:t>
            </w:r>
          </w:p>
        </w:tc>
      </w:tr>
      <w:tr w:rsidR="00BF3A80" w14:paraId="3F83660C" w14:textId="77777777" w:rsidTr="00BF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BEAFE"/>
          </w:tcPr>
          <w:p w14:paraId="2AC27716" w14:textId="77777777" w:rsidR="00BF3A80" w:rsidRDefault="00000000">
            <w:r>
              <w:rPr>
                <w:color w:val="2563EB"/>
              </w:rPr>
              <w:t>MEDIUM</w:t>
            </w:r>
          </w:p>
        </w:tc>
        <w:tc>
          <w:tcPr>
            <w:tcW w:w="4680" w:type="dxa"/>
          </w:tcPr>
          <w:p w14:paraId="015F4915" w14:textId="77777777" w:rsidR="00BF3A80" w:rsidRDefault="00000000">
            <w:pPr>
              <w:cnfStyle w:val="000000100000" w:firstRow="0" w:lastRow="0" w:firstColumn="0" w:lastColumn="0" w:oddVBand="0" w:evenVBand="0" w:oddHBand="1" w:evenHBand="0" w:firstRowFirstColumn="0" w:firstRowLastColumn="0" w:lastRowFirstColumn="0" w:lastRowLastColumn="0"/>
            </w:pPr>
            <w:r>
              <w:t>Launch tenure-based loyalty rewards at 12, 24, and 48-month milestones to improve retention</w:t>
            </w:r>
          </w:p>
        </w:tc>
      </w:tr>
      <w:tr w:rsidR="00BF3A80" w14:paraId="68D52BD5" w14:textId="77777777" w:rsidTr="00BF3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1F5F9"/>
          </w:tcPr>
          <w:p w14:paraId="2EEEB5C6" w14:textId="77777777" w:rsidR="00BF3A80" w:rsidRDefault="00000000">
            <w:r>
              <w:rPr>
                <w:color w:val="64748B"/>
              </w:rPr>
              <w:t>LOW</w:t>
            </w:r>
          </w:p>
        </w:tc>
        <w:tc>
          <w:tcPr>
            <w:tcW w:w="4680" w:type="dxa"/>
          </w:tcPr>
          <w:p w14:paraId="16C042F3" w14:textId="77777777" w:rsidR="00BF3A80" w:rsidRDefault="00000000">
            <w:pPr>
              <w:cnfStyle w:val="000000010000" w:firstRow="0" w:lastRow="0" w:firstColumn="0" w:lastColumn="0" w:oddVBand="0" w:evenVBand="0" w:oddHBand="0" w:evenHBand="1" w:firstRowFirstColumn="0" w:firstRowLastColumn="0" w:lastRowFirstColumn="0" w:lastRowLastColumn="0"/>
            </w:pPr>
            <w:r>
              <w:t>Review fiber optic pricing strategy to ensure perceived value matches premium pricing</w:t>
            </w:r>
          </w:p>
        </w:tc>
      </w:tr>
    </w:tbl>
    <w:p w14:paraId="54FF7620" w14:textId="77777777" w:rsidR="00BF3A80" w:rsidRDefault="00BF3A80"/>
    <w:p w14:paraId="67638B1B" w14:textId="77777777" w:rsidR="00BF3A80" w:rsidRDefault="00BF3A80">
      <w:pPr>
        <w:pBdr>
          <w:bottom w:val="single" w:sz="6" w:space="1" w:color="6366F1"/>
        </w:pBdr>
      </w:pPr>
    </w:p>
    <w:p w14:paraId="70DC70B5" w14:textId="77777777" w:rsidR="00BF3A80" w:rsidRDefault="00000000">
      <w:pPr>
        <w:jc w:val="center"/>
      </w:pPr>
      <w:r>
        <w:rPr>
          <w:i/>
          <w:color w:val="888888"/>
          <w:sz w:val="18"/>
        </w:rPr>
        <w:t>RETENTIX AI - Customer Churn Intelligence Studio</w:t>
      </w:r>
      <w:r>
        <w:rPr>
          <w:i/>
          <w:color w:val="888888"/>
          <w:sz w:val="18"/>
        </w:rPr>
        <w:br/>
        <w:t>Engineered by Dhiraj Dalvi | October 2026 | Version 2.4</w:t>
      </w:r>
      <w:r>
        <w:rPr>
          <w:i/>
          <w:color w:val="888888"/>
          <w:sz w:val="18"/>
        </w:rPr>
        <w:br/>
        <w:t>Enterprise Telecom Machine Learning &amp; Revenue Protection System</w:t>
      </w:r>
    </w:p>
    <w:sectPr w:rsidR="00BF3A80" w:rsidSect="00880399">
      <w:pgSz w:w="12240" w:h="15840"/>
      <w:pgMar w:top="1152" w:right="1183"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245220">
    <w:abstractNumId w:val="8"/>
  </w:num>
  <w:num w:numId="2" w16cid:durableId="720594699">
    <w:abstractNumId w:val="6"/>
  </w:num>
  <w:num w:numId="3" w16cid:durableId="918826281">
    <w:abstractNumId w:val="5"/>
  </w:num>
  <w:num w:numId="4" w16cid:durableId="1671524170">
    <w:abstractNumId w:val="4"/>
  </w:num>
  <w:num w:numId="5" w16cid:durableId="1122647293">
    <w:abstractNumId w:val="7"/>
  </w:num>
  <w:num w:numId="6" w16cid:durableId="735932169">
    <w:abstractNumId w:val="3"/>
  </w:num>
  <w:num w:numId="7" w16cid:durableId="1616668432">
    <w:abstractNumId w:val="2"/>
  </w:num>
  <w:num w:numId="8" w16cid:durableId="2087723881">
    <w:abstractNumId w:val="1"/>
  </w:num>
  <w:num w:numId="9" w16cid:durableId="10250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C2C"/>
    <w:rsid w:val="0015074B"/>
    <w:rsid w:val="0029639D"/>
    <w:rsid w:val="00326F90"/>
    <w:rsid w:val="00737426"/>
    <w:rsid w:val="00880399"/>
    <w:rsid w:val="00AA1D8D"/>
    <w:rsid w:val="00B47730"/>
    <w:rsid w:val="00BF3A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E32F5"/>
  <w14:defaultImageDpi w14:val="300"/>
  <w15:docId w15:val="{ADA74069-4455-4584-8608-046269BB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dhiraj dalvi</cp:lastModifiedBy>
  <cp:revision>2</cp:revision>
  <dcterms:created xsi:type="dcterms:W3CDTF">2013-12-23T23:15:00Z</dcterms:created>
  <dcterms:modified xsi:type="dcterms:W3CDTF">2026-10-14T05:19:00Z</dcterms:modified>
  <cp:category/>
</cp:coreProperties>
</file>