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HRMS Project Flowchart</w:t>
      </w:r>
    </w:p>
    <w:p>
      <w:r>
        <w:t>This flowchart shows the high-level process flow in the HRMS system, starting from User login to HR and Employee dashboards, followed by modules like Onboarding, Department Management, Attendance, Leave, Payroll, Performance, Benefits, Reports, and Settings.</w:t>
      </w:r>
    </w:p>
    <w:p>
      <w:r>
        <w:drawing>
          <wp:inline xmlns:a="http://schemas.openxmlformats.org/drawingml/2006/main" xmlns:pic="http://schemas.openxmlformats.org/drawingml/2006/picture">
            <wp:extent cx="5486400" cy="585788"/>
            <wp:docPr id="1" name="Picture 1"/>
            <wp:cNvGraphicFramePr>
              <a:graphicFrameLocks noChangeAspect="1"/>
            </wp:cNvGraphicFramePr>
            <a:graphic>
              <a:graphicData uri="http://schemas.openxmlformats.org/drawingml/2006/picture">
                <pic:pic>
                  <pic:nvPicPr>
                    <pic:cNvPr id="0" name="hrms_flowchart.png"/>
                    <pic:cNvPicPr/>
                  </pic:nvPicPr>
                  <pic:blipFill>
                    <a:blip r:embed="rId9"/>
                    <a:stretch>
                      <a:fillRect/>
                    </a:stretch>
                  </pic:blipFill>
                  <pic:spPr>
                    <a:xfrm>
                      <a:off x="0" y="0"/>
                      <a:ext cx="5486400" cy="58578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