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44"/>
          <w:szCs w:val="44"/>
        </w:rPr>
        <w:t xml:space="preserve">Articulate AI</w:t>
      </w:r>
    </w:p>
    <w:p>
      <w:pPr>
        <w:spacing w:after="40"/>
      </w:pPr>
      <w:r>
        <w:rPr>
          <w:rFonts w:ascii="Calibri" w:cs="Calibri" w:eastAsia="Calibri" w:hAnsi="Calibri"/>
          <w:b/>
          <w:bCs/>
          <w:sz w:val="32"/>
          <w:szCs w:val="32"/>
        </w:rPr>
        <w:t xml:space="preserve">Release Candidate 1 Report</w:t>
      </w:r>
    </w:p>
    <w:p>
      <w:pPr>
        <w:spacing w:after="360"/>
      </w:pPr>
      <w:r>
        <w:rPr>
          <w:rFonts w:ascii="Calibri" w:cs="Calibri" w:eastAsia="Calibri" w:hAnsi="Calibri"/>
          <w:i/>
          <w:iCs/>
          <w:color w:val="595959"/>
          <w:sz w:val="20"/>
          <w:szCs w:val="20"/>
        </w:rPr>
        <w:t xml:space="preserve">Prepared July 16, 2026 · Backend v1.0 + Frontend MVP (Milestone 6) · Pre-v1.0 Final audit</w:t>
      </w:r>
    </w:p>
    <w:p>
      <w:pPr>
        <w:pBdr>
          <w:bottom w:val="single" w:color="AAAAAA" w:sz="6" w:space="1"/>
        </w:pBdr>
        <w:spacing w:after="240"/>
      </w:pPr>
    </w:p>
    <w:p>
      <w:pPr>
        <w:pStyle w:val="Heading1"/>
        <w:spacing w:after="160" w:before="360"/>
      </w:pPr>
      <w:r>
        <w:t xml:space="preserve">1. Executive Summary</w:t>
      </w:r>
    </w:p>
    <w:p>
      <w:pPr>
        <w:spacing w:after="160"/>
      </w:pPr>
      <w:r>
        <w:rPr>
          <w:rFonts w:ascii="Calibri" w:cs="Calibri" w:eastAsia="Calibri" w:hAnsi="Calibri"/>
          <w:sz w:val="22"/>
          <w:szCs w:val="22"/>
        </w:rPr>
        <w:t xml:space="preserve">This report covers a full-codebase Release Candidate audit of Articulate AI: dead code removal, duplication review, import/dependency verification, routing and API-contract verification, error/loading/empty/retry-state review, environment variable verification, and a full test run. The audit was read-only research followed by a scoped set of low-risk hardening fixes — no new product features were added, per the RC1 brief.</w:t>
      </w:r>
    </w:p>
    <w:p>
      <w:pPr>
        <w:spacing w:after="160"/>
      </w:pPr>
      <w:r>
        <w:rPr>
          <w:rFonts w:ascii="Calibri" w:cs="Calibri" w:eastAsia="Calibri" w:hAnsi="Calibri"/>
          <w:b/>
          <w:bCs/>
          <w:sz w:val="22"/>
          <w:szCs w:val="22"/>
        </w:rPr>
        <w:t xml:space="preserve">Bottom line: </w:t>
      </w:r>
      <w:r>
        <w:rPr>
          <w:rFonts w:ascii="Calibri" w:cs="Calibri" w:eastAsia="Calibri" w:hAnsi="Calibri"/>
          <w:sz w:val="22"/>
          <w:szCs w:val="22"/>
        </w:rPr>
        <w:t xml:space="preserve">the codebase is in good shape for a Release Candidate. No functional bugs were found in the shipped behavior. The audit surfaced a small number of defensive-programming gaps in backend error handling (now fixed and covered by new regression tests), several pieces of duplicated frontend logic (now consolidated), one undeclared backend dependency, one orphaned empty package, and one meaningful pre-v1.0-Final concern: known, disclosed critical/high severity vulnerabilities in the pinned Next.js version. Every other finding is technical debt or a missing production feature that the project's own architecture decision records already disclose — this report cross-references and consolidates those into one place.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0"/>
        <w:gridCol w:w="2000"/>
      </w:tblGrid>
      <w:tr>
        <w:trPr>
          <w:tblHeader/>
        </w:trPr>
        <w:tc>
          <w:tcPr>
            <w:tcW w:type="dxa" w:w="7000"/>
            <w:shd w:fill="2F5496" w:val="clear"/>
          </w:tcPr>
          <w:p>
            <w:r>
              <w:rPr>
                <w:rFonts w:ascii="Calibri" w:cs="Calibri" w:eastAsia="Calibri" w:hAnsi="Calibri"/>
                <w:b/>
                <w:bCs/>
                <w:color w:val="FFFFFF"/>
                <w:sz w:val="20"/>
                <w:szCs w:val="20"/>
              </w:rPr>
              <w:t xml:space="preserve">Item</w:t>
            </w:r>
          </w:p>
        </w:tc>
        <w:tc>
          <w:tcPr>
            <w:tcW w:type="dxa" w:w="2000"/>
            <w:shd w:fill="2F5496" w:val="clear"/>
          </w:tcPr>
          <w:p>
            <w:r>
              <w:rPr>
                <w:rFonts w:ascii="Calibri" w:cs="Calibri" w:eastAsia="Calibri" w:hAnsi="Calibri"/>
                <w:b/>
                <w:bCs/>
                <w:color w:val="FFFFFF"/>
                <w:sz w:val="20"/>
                <w:szCs w:val="20"/>
              </w:rPr>
              <w:t xml:space="preserve">Status</w:t>
            </w:r>
          </w:p>
        </w:tc>
      </w:tr>
      <w:tr>
        <w:tc>
          <w:tcPr>
            <w:tcW w:type="dxa" w:w="7000"/>
          </w:tcPr>
          <w:p>
            <w:r>
              <w:rPr>
                <w:rFonts w:ascii="Calibri" w:cs="Calibri" w:eastAsia="Calibri" w:hAnsi="Calibri"/>
                <w:sz w:val="20"/>
                <w:szCs w:val="20"/>
              </w:rPr>
              <w:t xml:space="preserve">Backend test suite</w:t>
            </w:r>
          </w:p>
        </w:tc>
        <w:tc>
          <w:tcPr>
            <w:tcW w:type="dxa" w:w="2000"/>
            <w:shd w:fill="C6E0B4" w:val="clear"/>
          </w:tcPr>
          <w:p>
            <w:r>
              <w:rPr>
                <w:rFonts w:ascii="Calibri" w:cs="Calibri" w:eastAsia="Calibri" w:hAnsi="Calibri"/>
                <w:b/>
                <w:bCs/>
                <w:sz w:val="20"/>
                <w:szCs w:val="20"/>
              </w:rPr>
              <w:t xml:space="preserve">331 / 331 passing</w:t>
            </w:r>
          </w:p>
        </w:tc>
      </w:tr>
      <w:tr>
        <w:tc>
          <w:tcPr>
            <w:tcW w:type="dxa" w:w="7000"/>
          </w:tcPr>
          <w:p>
            <w:r>
              <w:rPr>
                <w:rFonts w:ascii="Calibri" w:cs="Calibri" w:eastAsia="Calibri" w:hAnsi="Calibri"/>
                <w:sz w:val="20"/>
                <w:szCs w:val="20"/>
              </w:rPr>
              <w:t xml:space="preserve">Frontend test suite</w:t>
            </w:r>
          </w:p>
        </w:tc>
        <w:tc>
          <w:tcPr>
            <w:tcW w:type="dxa" w:w="2000"/>
            <w:shd w:fill="C6E0B4" w:val="clear"/>
          </w:tcPr>
          <w:p>
            <w:r>
              <w:rPr>
                <w:rFonts w:ascii="Calibri" w:cs="Calibri" w:eastAsia="Calibri" w:hAnsi="Calibri"/>
                <w:b/>
                <w:bCs/>
                <w:sz w:val="20"/>
                <w:szCs w:val="20"/>
              </w:rPr>
              <w:t xml:space="preserve">90 / 90 passing (17 files)</w:t>
            </w:r>
          </w:p>
        </w:tc>
      </w:tr>
      <w:tr>
        <w:tc>
          <w:tcPr>
            <w:tcW w:type="dxa" w:w="7000"/>
          </w:tcPr>
          <w:p>
            <w:r>
              <w:rPr>
                <w:rFonts w:ascii="Calibri" w:cs="Calibri" w:eastAsia="Calibri" w:hAnsi="Calibri"/>
                <w:sz w:val="20"/>
                <w:szCs w:val="20"/>
              </w:rPr>
              <w:t xml:space="preserve">Backend: tsc-equivalent (import graph, dead code)</w:t>
            </w:r>
          </w:p>
        </w:tc>
        <w:tc>
          <w:tcPr>
            <w:tcW w:type="dxa" w:w="2000"/>
            <w:shd w:fill="C6E0B4" w:val="clear"/>
          </w:tcPr>
          <w:p>
            <w:r>
              <w:rPr>
                <w:rFonts w:ascii="Calibri" w:cs="Calibri" w:eastAsia="Calibri" w:hAnsi="Calibri"/>
                <w:b/>
                <w:bCs/>
                <w:sz w:val="20"/>
                <w:szCs w:val="20"/>
              </w:rPr>
              <w:t xml:space="preserve">Clean</w:t>
            </w:r>
          </w:p>
        </w:tc>
      </w:tr>
      <w:tr>
        <w:tc>
          <w:tcPr>
            <w:tcW w:type="dxa" w:w="7000"/>
          </w:tcPr>
          <w:p>
            <w:r>
              <w:rPr>
                <w:rFonts w:ascii="Calibri" w:cs="Calibri" w:eastAsia="Calibri" w:hAnsi="Calibri"/>
                <w:sz w:val="20"/>
                <w:szCs w:val="20"/>
              </w:rPr>
              <w:t xml:space="preserve">Frontend: tsc --noEmit</w:t>
            </w:r>
          </w:p>
        </w:tc>
        <w:tc>
          <w:tcPr>
            <w:tcW w:type="dxa" w:w="2000"/>
            <w:shd w:fill="C6E0B4" w:val="clear"/>
          </w:tcPr>
          <w:p>
            <w:r>
              <w:rPr>
                <w:rFonts w:ascii="Calibri" w:cs="Calibri" w:eastAsia="Calibri" w:hAnsi="Calibri"/>
                <w:b/>
                <w:bCs/>
                <w:sz w:val="20"/>
                <w:szCs w:val="20"/>
              </w:rPr>
              <w:t xml:space="preserve">Clean</w:t>
            </w:r>
          </w:p>
        </w:tc>
      </w:tr>
      <w:tr>
        <w:tc>
          <w:tcPr>
            <w:tcW w:type="dxa" w:w="7000"/>
          </w:tcPr>
          <w:p>
            <w:r>
              <w:rPr>
                <w:rFonts w:ascii="Calibri" w:cs="Calibri" w:eastAsia="Calibri" w:hAnsi="Calibri"/>
                <w:sz w:val="20"/>
                <w:szCs w:val="20"/>
              </w:rPr>
              <w:t xml:space="preserve">Frontend: eslint</w:t>
            </w:r>
          </w:p>
        </w:tc>
        <w:tc>
          <w:tcPr>
            <w:tcW w:type="dxa" w:w="2000"/>
            <w:shd w:fill="C6E0B4" w:val="clear"/>
          </w:tcPr>
          <w:p>
            <w:r>
              <w:rPr>
                <w:rFonts w:ascii="Calibri" w:cs="Calibri" w:eastAsia="Calibri" w:hAnsi="Calibri"/>
                <w:b/>
                <w:bCs/>
                <w:sz w:val="20"/>
                <w:szCs w:val="20"/>
              </w:rPr>
              <w:t xml:space="preserve">Clean</w:t>
            </w:r>
          </w:p>
        </w:tc>
      </w:tr>
      <w:tr>
        <w:tc>
          <w:tcPr>
            <w:tcW w:type="dxa" w:w="7000"/>
          </w:tcPr>
          <w:p>
            <w:r>
              <w:rPr>
                <w:rFonts w:ascii="Calibri" w:cs="Calibri" w:eastAsia="Calibri" w:hAnsi="Calibri"/>
                <w:sz w:val="20"/>
                <w:szCs w:val="20"/>
              </w:rPr>
              <w:t xml:space="preserve">Frontend: production build (next build)</w:t>
            </w:r>
          </w:p>
        </w:tc>
        <w:tc>
          <w:tcPr>
            <w:tcW w:type="dxa" w:w="2000"/>
            <w:shd w:fill="C6E0B4" w:val="clear"/>
          </w:tcPr>
          <w:p>
            <w:r>
              <w:rPr>
                <w:rFonts w:ascii="Calibri" w:cs="Calibri" w:eastAsia="Calibri" w:hAnsi="Calibri"/>
                <w:b/>
                <w:bCs/>
                <w:sz w:val="20"/>
                <w:szCs w:val="20"/>
              </w:rPr>
              <w:t xml:space="preserve">Succeeds, all routes prerender</w:t>
            </w:r>
          </w:p>
        </w:tc>
      </w:tr>
      <w:tr>
        <w:tc>
          <w:tcPr>
            <w:tcW w:type="dxa" w:w="7000"/>
          </w:tcPr>
          <w:p>
            <w:r>
              <w:rPr>
                <w:rFonts w:ascii="Calibri" w:cs="Calibri" w:eastAsia="Calibri" w:hAnsi="Calibri"/>
                <w:sz w:val="20"/>
                <w:szCs w:val="20"/>
              </w:rPr>
              <w:t xml:space="preserve">API contract (backend models ↔ frontend types)</w:t>
            </w:r>
          </w:p>
        </w:tc>
        <w:tc>
          <w:tcPr>
            <w:tcW w:type="dxa" w:w="2000"/>
            <w:shd w:fill="C6E0B4" w:val="clear"/>
          </w:tcPr>
          <w:p>
            <w:r>
              <w:rPr>
                <w:rFonts w:ascii="Calibri" w:cs="Calibri" w:eastAsia="Calibri" w:hAnsi="Calibri"/>
                <w:b/>
                <w:bCs/>
                <w:sz w:val="20"/>
                <w:szCs w:val="20"/>
              </w:rPr>
              <w:t xml:space="preserve">Structurally sound, 1 typing gap fixed, 1 doc drift fixed</w:t>
            </w:r>
          </w:p>
        </w:tc>
      </w:tr>
      <w:tr>
        <w:tc>
          <w:tcPr>
            <w:tcW w:type="dxa" w:w="7000"/>
          </w:tcPr>
          <w:p>
            <w:r>
              <w:rPr>
                <w:rFonts w:ascii="Calibri" w:cs="Calibri" w:eastAsia="Calibri" w:hAnsi="Calibri"/>
                <w:sz w:val="20"/>
                <w:szCs w:val="20"/>
              </w:rPr>
              <w:t xml:space="preserve">Known npm security advisories (next, esbuild/vite chain)</w:t>
            </w:r>
          </w:p>
        </w:tc>
        <w:tc>
          <w:tcPr>
            <w:tcW w:type="dxa" w:w="2000"/>
            <w:shd w:fill="F4B183" w:val="clear"/>
          </w:tcPr>
          <w:p>
            <w:r>
              <w:rPr>
                <w:rFonts w:ascii="Calibri" w:cs="Calibri" w:eastAsia="Calibri" w:hAnsi="Calibri"/>
                <w:b/>
                <w:bCs/>
                <w:sz w:val="20"/>
                <w:szCs w:val="20"/>
              </w:rPr>
              <w:t xml:space="preserve">Present — needs a version bump before Final</w:t>
            </w:r>
          </w:p>
        </w:tc>
      </w:tr>
    </w:tbl>
    <w:p>
      <w:pPr>
        <w:pStyle w:val="Heading1"/>
        <w:spacing w:after="160" w:before="360"/>
      </w:pPr>
      <w:r>
        <w:t xml:space="preserve">2. Audit Scope &amp; Methodology</w:t>
      </w:r>
    </w:p>
    <w:p>
      <w:pPr>
        <w:spacing w:after="160"/>
      </w:pPr>
      <w:r>
        <w:rPr>
          <w:rFonts w:ascii="Calibri" w:cs="Calibri" w:eastAsia="Calibri" w:hAnsi="Calibri"/>
          <w:sz w:val="22"/>
          <w:szCs w:val="22"/>
        </w:rPr>
        <w:t xml:space="preserve">Three independent, read-only audits were run in parallel over the full repository, followed by manual verification of every concrete finding before any fix was applied:</w:t>
      </w:r>
    </w:p>
    <w:p>
      <w:pPr>
        <w:pStyle w:val="ListParagraph"/>
        <w:numPr>
          <w:ilvl w:val="0"/>
          <w:numId w:val="2"/>
        </w:numPr>
        <w:spacing w:after="100"/>
      </w:pPr>
      <w:r>
        <w:rPr>
          <w:rFonts w:ascii="Calibri" w:cs="Calibri" w:eastAsia="Calibri" w:hAnsi="Calibri"/>
          <w:sz w:val="22"/>
          <w:szCs w:val="22"/>
        </w:rPr>
        <w:t xml:space="preserve">Backend audit: dead code, duplicated logic, unused imports, dependency drift, unused files, route reachability, environment variable coverage, and error-handling propagation paths.</w:t>
      </w:r>
    </w:p>
    <w:p>
      <w:pPr>
        <w:pStyle w:val="ListParagraph"/>
        <w:numPr>
          <w:ilvl w:val="0"/>
          <w:numId w:val="2"/>
        </w:numPr>
        <w:spacing w:after="100"/>
      </w:pPr>
      <w:r>
        <w:rPr>
          <w:rFonts w:ascii="Calibri" w:cs="Calibri" w:eastAsia="Calibri" w:hAnsi="Calibri"/>
          <w:sz w:val="22"/>
          <w:szCs w:val="22"/>
        </w:rPr>
        <w:t xml:space="preserve">Frontend audit: dead code, duplicated logic, unused imports, dependency drift, unused files, routing, loading/error/empty states, retry behavior, and environment variable usage.</w:t>
      </w:r>
    </w:p>
    <w:p>
      <w:pPr>
        <w:pStyle w:val="ListParagraph"/>
        <w:numPr>
          <w:ilvl w:val="0"/>
          <w:numId w:val="2"/>
        </w:numPr>
        <w:spacing w:after="100"/>
      </w:pPr>
      <w:r>
        <w:rPr>
          <w:rFonts w:ascii="Calibri" w:cs="Calibri" w:eastAsia="Calibri" w:hAnsi="Calibri"/>
          <w:sz w:val="22"/>
          <w:szCs w:val="22"/>
        </w:rPr>
        <w:t xml:space="preserve">API contract audit: a field-by-field diff of every Pydantic model reachable from POST /analyze's response against the hand-mirrored TypeScript types, including every Literal/enum vocabulary (reasoning labels, score bands, module names, error reasons).</w:t>
      </w:r>
    </w:p>
    <w:p>
      <w:pPr>
        <w:spacing w:after="160"/>
      </w:pPr>
      <w:r>
        <w:rPr>
          <w:rFonts w:ascii="Calibri" w:cs="Calibri" w:eastAsia="Calibri" w:hAnsi="Calibri"/>
          <w:sz w:val="22"/>
          <w:szCs w:val="22"/>
        </w:rPr>
        <w:t xml:space="preserve">Every finding below was independently verified by reading the cited source before being acted on or included in this report — nothing here is taken on the sub-audit's word alone.</w:t>
      </w:r>
    </w:p>
    <w:p>
      <w:pPr>
        <w:pStyle w:val="Heading1"/>
        <w:spacing w:after="160" w:before="360"/>
      </w:pPr>
      <w:r>
        <w:t xml:space="preserve">3. Fixes Applied During This Pass</w:t>
      </w:r>
    </w:p>
    <w:p>
      <w:pPr>
        <w:spacing w:after="160"/>
      </w:pPr>
      <w:r>
        <w:rPr>
          <w:rFonts w:ascii="Calibri" w:cs="Calibri" w:eastAsia="Calibri" w:hAnsi="Calibri"/>
          <w:sz w:val="22"/>
          <w:szCs w:val="22"/>
        </w:rPr>
        <w:t xml:space="preserve">The following changes were made. All are hardening, cleanup, or documentation fixes — none change product behavior a user would notice, and none constitute a new feature.</w:t>
      </w:r>
    </w:p>
    <w:p>
      <w:pPr>
        <w:pStyle w:val="Heading2"/>
        <w:spacing w:after="120" w:before="280"/>
      </w:pPr>
      <w:r>
        <w:t xml:space="preserve">Backend</w:t>
      </w:r>
    </w:p>
    <w:p>
      <w:pPr>
        <w:pStyle w:val="ListParagraph"/>
        <w:numPr>
          <w:ilvl w:val="0"/>
          <w:numId w:val="2"/>
        </w:numPr>
        <w:spacing w:after="100"/>
      </w:pPr>
      <w:r>
        <w:rPr>
          <w:rFonts w:ascii="Calibri" w:cs="Calibri" w:eastAsia="Calibri" w:hAnsi="Calibri"/>
          <w:b/>
          <w:bCs/>
          <w:sz w:val="22"/>
          <w:szCs w:val="22"/>
        </w:rPr>
        <w:t xml:space="preserve">Global exception safety net </w:t>
      </w:r>
      <w:r>
        <w:rPr>
          <w:rFonts w:ascii="Calibri" w:cs="Calibri" w:eastAsia="Calibri" w:hAnsi="Calibri"/>
          <w:sz w:val="22"/>
          <w:szCs w:val="22"/>
        </w:rPr>
        <w:t xml:space="preserve">(app/main.py): registered a process-wide Exception handler. Any failure not already converted to a clean HTTPException by a route's own error mapping now returns the same {"error", "message"} JSON shape instead of an unstructured 500 with a raw stack trace. Covered by a new regression test.</w:t>
      </w:r>
    </w:p>
    <w:p>
      <w:pPr>
        <w:pStyle w:val="ListParagraph"/>
        <w:numPr>
          <w:ilvl w:val="0"/>
          <w:numId w:val="2"/>
        </w:numPr>
        <w:spacing w:after="100"/>
      </w:pPr>
      <w:r>
        <w:rPr>
          <w:rFonts w:ascii="Calibri" w:cs="Calibri" w:eastAsia="Calibri" w:hAnsi="Calibri"/>
          <w:b/>
          <w:bCs/>
          <w:sz w:val="22"/>
          <w:szCs w:val="22"/>
        </w:rPr>
        <w:t xml:space="preserve">Scoring dispatch hardened </w:t>
      </w:r>
      <w:r>
        <w:rPr>
          <w:rFonts w:ascii="Calibri" w:cs="Calibri" w:eastAsia="Calibri" w:hAnsi="Calibri"/>
          <w:sz w:val="22"/>
          <w:szCs w:val="22"/>
        </w:rPr>
        <w:t xml:space="preserve">(app/scoring/engine.py, errors.py): score_module() could raise a bare KeyError on a module-registration drift; ScoringEngine.score() now catches it and raises a proper ScoringError (new reason: no_scorer_for_module), wired into POST /analyze's status map and docs/api.md. Covered by a new regression test.</w:t>
      </w:r>
    </w:p>
    <w:p>
      <w:pPr>
        <w:pStyle w:val="ListParagraph"/>
        <w:numPr>
          <w:ilvl w:val="0"/>
          <w:numId w:val="2"/>
        </w:numPr>
        <w:spacing w:after="100"/>
      </w:pPr>
      <w:r>
        <w:rPr>
          <w:rFonts w:ascii="Calibri" w:cs="Calibri" w:eastAsia="Calibri" w:hAnsi="Calibri"/>
          <w:b/>
          <w:bCs/>
          <w:sz w:val="22"/>
          <w:szCs w:val="22"/>
        </w:rPr>
        <w:t xml:space="preserve">Declared the pydantic dependency </w:t>
      </w:r>
      <w:r>
        <w:rPr>
          <w:rFonts w:ascii="Calibri" w:cs="Calibri" w:eastAsia="Calibri" w:hAnsi="Calibri"/>
          <w:sz w:val="22"/>
          <w:szCs w:val="22"/>
        </w:rPr>
        <w:t xml:space="preserve">explicitly in requirements.txt (pinned to 2.13.4, the version already in use transitively via pydantic-settings) — previously an undeclared direct dependency of 12+ files.</w:t>
      </w:r>
    </w:p>
    <w:p>
      <w:pPr>
        <w:pStyle w:val="ListParagraph"/>
        <w:numPr>
          <w:ilvl w:val="0"/>
          <w:numId w:val="2"/>
        </w:numPr>
        <w:spacing w:after="100"/>
      </w:pPr>
      <w:r>
        <w:rPr>
          <w:rFonts w:ascii="Calibri" w:cs="Calibri" w:eastAsia="Calibri" w:hAnsi="Calibri"/>
          <w:b/>
          <w:bCs/>
          <w:sz w:val="22"/>
          <w:szCs w:val="22"/>
        </w:rPr>
        <w:t xml:space="preserve">Removed an orphaned empty package </w:t>
      </w:r>
      <w:r>
        <w:rPr>
          <w:rFonts w:ascii="Calibri" w:cs="Calibri" w:eastAsia="Calibri" w:hAnsi="Calibri"/>
          <w:sz w:val="22"/>
          <w:szCs w:val="22"/>
        </w:rPr>
        <w:t xml:space="preserve">(app/models/__init__.py) — zero content, zero importers anywhere in the codebase.</w:t>
      </w:r>
    </w:p>
    <w:p>
      <w:pPr>
        <w:pStyle w:val="ListParagraph"/>
        <w:numPr>
          <w:ilvl w:val="0"/>
          <w:numId w:val="2"/>
        </w:numPr>
        <w:spacing w:after="100"/>
      </w:pPr>
      <w:r>
        <w:rPr>
          <w:rFonts w:ascii="Calibri" w:cs="Calibri" w:eastAsia="Calibri" w:hAnsi="Calibri"/>
          <w:b/>
          <w:bCs/>
          <w:sz w:val="22"/>
          <w:szCs w:val="22"/>
        </w:rPr>
        <w:t xml:space="preserve">Documented the APP_NAME environment variable </w:t>
      </w:r>
      <w:r>
        <w:rPr>
          <w:rFonts w:ascii="Calibri" w:cs="Calibri" w:eastAsia="Calibri" w:hAnsi="Calibri"/>
          <w:sz w:val="22"/>
          <w:szCs w:val="22"/>
        </w:rPr>
        <w:t xml:space="preserve">in .env.example and docs/configuration.md — a real, working Settings field that was previously undocumented.</w:t>
      </w:r>
    </w:p>
    <w:p>
      <w:pPr>
        <w:pStyle w:val="ListParagraph"/>
        <w:numPr>
          <w:ilvl w:val="0"/>
          <w:numId w:val="2"/>
        </w:numPr>
        <w:spacing w:after="100"/>
      </w:pPr>
      <w:r>
        <w:rPr>
          <w:rFonts w:ascii="Calibri" w:cs="Calibri" w:eastAsia="Calibri" w:hAnsi="Calibri"/>
          <w:b/>
          <w:bCs/>
          <w:sz w:val="22"/>
          <w:szCs w:val="22"/>
        </w:rPr>
        <w:t xml:space="preserve">Fixed documentation drift </w:t>
      </w:r>
      <w:r>
        <w:rPr>
          <w:rFonts w:ascii="Calibri" w:cs="Calibri" w:eastAsia="Calibri" w:hAnsi="Calibri"/>
          <w:sz w:val="22"/>
          <w:szCs w:val="22"/>
        </w:rPr>
        <w:t xml:space="preserve">in docs/api.md's example response: the coaching object example was missing transcript_id, generated_at, and executive_summary, which the real CoachingReport model always serializes.</w:t>
      </w:r>
    </w:p>
    <w:p>
      <w:pPr>
        <w:pStyle w:val="Heading2"/>
        <w:spacing w:after="120" w:before="280"/>
      </w:pPr>
      <w:r>
        <w:t xml:space="preserve">Frontend</w:t>
      </w:r>
    </w:p>
    <w:p>
      <w:pPr>
        <w:pStyle w:val="ListParagraph"/>
        <w:numPr>
          <w:ilvl w:val="0"/>
          <w:numId w:val="2"/>
        </w:numPr>
        <w:spacing w:after="100"/>
      </w:pPr>
      <w:r>
        <w:rPr>
          <w:rFonts w:ascii="Calibri" w:cs="Calibri" w:eastAsia="Calibri" w:hAnsi="Calibri"/>
          <w:b/>
          <w:bCs/>
          <w:sz w:val="22"/>
          <w:szCs w:val="22"/>
        </w:rPr>
        <w:t xml:space="preserve">Consolidated formatBytes() </w:t>
      </w:r>
      <w:r>
        <w:rPr>
          <w:rFonts w:ascii="Calibri" w:cs="Calibri" w:eastAsia="Calibri" w:hAnsi="Calibri"/>
          <w:sz w:val="22"/>
          <w:szCs w:val="22"/>
        </w:rPr>
        <w:t xml:space="preserve">into a single shared src/lib/formatBytes.ts, replacing three independent copies (FilePreviewPanel.tsx, RecordingReviewPanel.tsx, PlaybackPanel.tsx) — the same class of drift risk the project had already fixed once for formatDuration(). New unit tests added.</w:t>
      </w:r>
    </w:p>
    <w:p>
      <w:pPr>
        <w:pStyle w:val="ListParagraph"/>
        <w:numPr>
          <w:ilvl w:val="0"/>
          <w:numId w:val="2"/>
        </w:numPr>
        <w:spacing w:after="100"/>
      </w:pPr>
      <w:r>
        <w:rPr>
          <w:rFonts w:ascii="Calibri" w:cs="Calibri" w:eastAsia="Calibri" w:hAnsi="Calibri"/>
          <w:b/>
          <w:bCs/>
          <w:sz w:val="22"/>
          <w:szCs w:val="22"/>
        </w:rPr>
        <w:t xml:space="preserve">Removed the unused tailwindcss-animate dependency </w:t>
      </w:r>
      <w:r>
        <w:rPr>
          <w:rFonts w:ascii="Calibri" w:cs="Calibri" w:eastAsia="Calibri" w:hAnsi="Calibri"/>
          <w:sz w:val="22"/>
          <w:szCs w:val="22"/>
        </w:rPr>
        <w:t xml:space="preserve">— declared in package.json, never referenced anywhere (tailwind.config.ts's plugin list is empty).</w:t>
      </w:r>
    </w:p>
    <w:p>
      <w:pPr>
        <w:pStyle w:val="ListParagraph"/>
        <w:numPr>
          <w:ilvl w:val="0"/>
          <w:numId w:val="2"/>
        </w:numPr>
        <w:spacing w:after="100"/>
      </w:pPr>
      <w:r>
        <w:rPr>
          <w:rFonts w:ascii="Calibri" w:cs="Calibri" w:eastAsia="Calibri" w:hAnsi="Calibri"/>
          <w:b/>
          <w:bCs/>
          <w:sz w:val="22"/>
          <w:szCs w:val="22"/>
        </w:rPr>
        <w:t xml:space="preserve">Tightened ModuleErrorDetail.reason </w:t>
      </w:r>
      <w:r>
        <w:rPr>
          <w:rFonts w:ascii="Calibri" w:cs="Calibri" w:eastAsia="Calibri" w:hAnsi="Calibri"/>
          <w:sz w:val="22"/>
          <w:szCs w:val="22"/>
        </w:rPr>
        <w:t xml:space="preserve">in types.ts from a bare string to a literal union matching the backend's AnalysisErrorReason enum exactly — restores compile-time exhaustiveness checking that every other enum in this file already had.</w:t>
      </w:r>
    </w:p>
    <w:p>
      <w:pPr>
        <w:pStyle w:val="ListParagraph"/>
        <w:numPr>
          <w:ilvl w:val="0"/>
          <w:numId w:val="2"/>
        </w:numPr>
        <w:spacing w:after="100"/>
      </w:pPr>
      <w:r>
        <w:rPr>
          <w:rFonts w:ascii="Calibri" w:cs="Calibri" w:eastAsia="Calibri" w:hAnsi="Calibri"/>
          <w:b/>
          <w:bCs/>
          <w:sz w:val="22"/>
          <w:szCs w:val="22"/>
        </w:rPr>
        <w:t xml:space="preserve">Rewrote the frontend README </w:t>
      </w:r>
      <w:r>
        <w:rPr>
          <w:rFonts w:ascii="Calibri" w:cs="Calibri" w:eastAsia="Calibri" w:hAnsi="Calibri"/>
          <w:sz w:val="22"/>
          <w:szCs w:val="22"/>
        </w:rPr>
        <w:t xml:space="preserve">(previously unmodified create-next-app boilerplate) with real setup instructions, the NEXT_PUBLIC_API_BASE_URL environment variable, page routing, and testing commands.</w:t>
      </w:r>
    </w:p>
    <w:p>
      <w:pPr>
        <w:pStyle w:val="Heading2"/>
        <w:spacing w:after="120" w:before="280"/>
      </w:pPr>
      <w:r>
        <w:t xml:space="preserve">Verification after fixes</w:t>
      </w:r>
    </w:p>
    <w:p>
      <w:pPr>
        <w:pStyle w:val="ListParagraph"/>
        <w:numPr>
          <w:ilvl w:val="0"/>
          <w:numId w:val="2"/>
        </w:numPr>
        <w:spacing w:after="100"/>
      </w:pPr>
      <w:r>
        <w:rPr>
          <w:rFonts w:ascii="Calibri" w:cs="Calibri" w:eastAsia="Calibri" w:hAnsi="Calibri"/>
          <w:sz w:val="22"/>
          <w:szCs w:val="22"/>
        </w:rPr>
        <w:t xml:space="preserve">Backend: 331 tests passing (329 pre-existing + 2 new regression tests), verified in a freshly provisioned virtual environment against the updated requirements.txt.</w:t>
      </w:r>
    </w:p>
    <w:p>
      <w:pPr>
        <w:pStyle w:val="ListParagraph"/>
        <w:numPr>
          <w:ilvl w:val="0"/>
          <w:numId w:val="2"/>
        </w:numPr>
        <w:spacing w:after="100"/>
      </w:pPr>
      <w:r>
        <w:rPr>
          <w:rFonts w:ascii="Calibri" w:cs="Calibri" w:eastAsia="Calibri" w:hAnsi="Calibri"/>
          <w:sz w:val="22"/>
          <w:szCs w:val="22"/>
        </w:rPr>
        <w:t xml:space="preserve">Frontend: 90 tests passing across 17 files (87 pre-existing + 3 new formatBytes tests), tsc --noEmit clean, eslint clean, production build succeeds with all 4 routes statically prerendering.</w:t>
      </w:r>
    </w:p>
    <w:p>
      <w:pPr>
        <w:pStyle w:val="Heading1"/>
        <w:spacing w:after="160" w:before="360"/>
      </w:pPr>
      <w:r>
        <w:t xml:space="preserve">4. Remaining Bugs</w:t>
      </w:r>
    </w:p>
    <w:p>
      <w:pPr>
        <w:spacing w:after="160"/>
      </w:pPr>
      <w:r>
        <w:rPr>
          <w:rFonts w:ascii="Calibri" w:cs="Calibri" w:eastAsia="Calibri" w:hAnsi="Calibri"/>
          <w:sz w:val="22"/>
          <w:szCs w:val="22"/>
        </w:rPr>
        <w:t xml:space="preserve">No functional bugs were found in shipped behavior. Two items are worth naming precisely rather than claiming a perfectly clean bill of health:</w:t>
      </w:r>
    </w:p>
    <w:p>
      <w:pPr>
        <w:pStyle w:val="ListParagraph"/>
        <w:numPr>
          <w:ilvl w:val="0"/>
          <w:numId w:val="2"/>
        </w:numPr>
        <w:spacing w:after="100"/>
      </w:pPr>
      <w:r>
        <w:rPr>
          <w:rFonts w:ascii="Calibri" w:cs="Calibri" w:eastAsia="Calibri" w:hAnsi="Calibri"/>
          <w:b/>
          <w:bCs/>
          <w:sz w:val="22"/>
          <w:szCs w:val="22"/>
        </w:rPr>
        <w:t xml:space="preserve">Prompt-template rendering gap (latent, not reachable today): </w:t>
      </w:r>
      <w:r>
        <w:rPr>
          <w:rFonts w:ascii="Calibri" w:cs="Calibri" w:eastAsia="Calibri" w:hAnsi="Calibri"/>
          <w:sz w:val="22"/>
          <w:szCs w:val="22"/>
        </w:rPr>
        <w:t xml:space="preserve">PromptTemplate.render() (app/llm/prompt_loader.py) raises a plain ValueError, not a typed LLMError, if a prompt template ever references a variable its caller's context dict doesn't supply. Today every prompt file and its context builder agree, so this cannot currently fire. It is now caught by the new global exception handler rather than reaching the client as a raw 500, but it still isn't converted to the same clean, reason-coded error shape every other LLM failure gets. Low risk, cheap to fix properly (see §9).</w:t>
      </w:r>
    </w:p>
    <w:p>
      <w:pPr>
        <w:pStyle w:val="ListParagraph"/>
        <w:numPr>
          <w:ilvl w:val="0"/>
          <w:numId w:val="2"/>
        </w:numPr>
        <w:spacing w:after="100"/>
      </w:pPr>
      <w:r>
        <w:rPr>
          <w:rFonts w:ascii="Calibri" w:cs="Calibri" w:eastAsia="Calibri" w:hAnsi="Calibri"/>
          <w:b/>
          <w:bCs/>
          <w:sz w:val="22"/>
          <w:szCs w:val="22"/>
        </w:rPr>
        <w:t xml:space="preserve">Results page hydration flash (cosmetic, unlikely to be observed): </w:t>
      </w:r>
      <w:r>
        <w:rPr>
          <w:rFonts w:ascii="Calibri" w:cs="Calibri" w:eastAsia="Calibri" w:hAnsi="Calibri"/>
          <w:sz w:val="22"/>
          <w:szCs w:val="22"/>
        </w:rPr>
        <w:t xml:space="preserve">AnalysisResultContext initializes to null before reading sessionStorage in a post-mount effect. On a direct hard load of /results (bypassing the normal Analyze → Results in-app navigation), there is a one-tick window where the empty state could theoretically flash before the stored report loads. Not reproduced; noted for completeness.</w:t>
      </w:r>
    </w:p>
    <w:p>
      <w:pPr>
        <w:pStyle w:val="Heading1"/>
        <w:spacing w:after="160" w:before="360"/>
      </w:pPr>
      <w:r>
        <w:t xml:space="preserve">5. Technical Debt</w:t>
      </w:r>
    </w:p>
    <w:p>
      <w:pPr>
        <w:spacing w:after="160"/>
      </w:pPr>
      <w:r>
        <w:rPr>
          <w:rFonts w:ascii="Calibri" w:cs="Calibri" w:eastAsia="Calibri" w:hAnsi="Calibri"/>
          <w:sz w:val="22"/>
          <w:szCs w:val="22"/>
        </w:rPr>
        <w:t xml:space="preserve">None of the following block a release; all are documented here so they're tracked rather than rediscovered later.</w:t>
      </w:r>
    </w:p>
    <w:p>
      <w:pPr>
        <w:pStyle w:val="ListParagraph"/>
        <w:numPr>
          <w:ilvl w:val="0"/>
          <w:numId w:val="2"/>
        </w:numPr>
        <w:spacing w:after="100"/>
      </w:pPr>
      <w:r>
        <w:rPr>
          <w:rFonts w:ascii="Calibri" w:cs="Calibri" w:eastAsia="Calibri" w:hAnsi="Calibri"/>
          <w:b/>
          <w:bCs/>
          <w:sz w:val="22"/>
          <w:szCs w:val="22"/>
        </w:rPr>
        <w:t xml:space="preserve">Triplicated HTTP status-reason maps: </w:t>
      </w:r>
      <w:r>
        <w:rPr>
          <w:rFonts w:ascii="Calibri" w:cs="Calibri" w:eastAsia="Calibri" w:hAnsi="Calibri"/>
          <w:sz w:val="22"/>
          <w:szCs w:val="22"/>
        </w:rPr>
        <w:t xml:space="preserve">upload.py, transcribe.py, and analyze.py each maintain their own reason→status dict for overlapping error vocabularies. Intentional and documented (each route's contract is meant to be independently editable), but a real shotgun-surgery risk if any error enum gains a member and one map is missed — exactly the class of bug §3's scoring fix closed for one instance.</w:t>
      </w:r>
    </w:p>
    <w:p>
      <w:pPr>
        <w:pStyle w:val="ListParagraph"/>
        <w:numPr>
          <w:ilvl w:val="0"/>
          <w:numId w:val="2"/>
        </w:numPr>
        <w:spacing w:after="100"/>
      </w:pPr>
      <w:r>
        <w:rPr>
          <w:rFonts w:ascii="Calibri" w:cs="Calibri" w:eastAsia="Calibri" w:hAnsi="Calibri"/>
          <w:b/>
          <w:bCs/>
          <w:sz w:val="22"/>
          <w:szCs w:val="22"/>
        </w:rPr>
        <w:t xml:space="preserve">Three independently-maintained LLM error enums: </w:t>
      </w:r>
      <w:r>
        <w:rPr>
          <w:rFonts w:ascii="Calibri" w:cs="Calibri" w:eastAsia="Calibri" w:hAnsi="Calibri"/>
          <w:sz w:val="22"/>
          <w:szCs w:val="22"/>
        </w:rPr>
        <w:t xml:space="preserve">LLMErrorReason, AnalysisErrorReason, and CoachingErrorReason repeat the same six string values by convention, not by shared reference. Works today; a future new LLM failure mode requires remembering to update all three.</w:t>
      </w:r>
    </w:p>
    <w:p>
      <w:pPr>
        <w:pStyle w:val="ListParagraph"/>
        <w:numPr>
          <w:ilvl w:val="0"/>
          <w:numId w:val="2"/>
        </w:numPr>
        <w:spacing w:after="100"/>
      </w:pPr>
      <w:r>
        <w:rPr>
          <w:rFonts w:ascii="Calibri" w:cs="Calibri" w:eastAsia="Calibri" w:hAnsi="Calibri"/>
          <w:b/>
          <w:bCs/>
          <w:sz w:val="22"/>
          <w:szCs w:val="22"/>
        </w:rPr>
        <w:t xml:space="preserve">Four LLM provider adapters share unfactored boilerplate: </w:t>
      </w:r>
      <w:r>
        <w:rPr>
          <w:rFonts w:ascii="Calibri" w:cs="Calibri" w:eastAsia="Calibri" w:hAnsi="Calibri"/>
          <w:sz w:val="22"/>
          <w:szCs w:val="22"/>
        </w:rPr>
        <w:t xml:space="preserve">openai_provider.py, anthropic_provider.py, gemini_provider.py, and ollama_provider.py each repeat the same client-construction guard, usage-normalization, and empty-response-check patterns with no shared base class. Deliberately left unrefactored this pass — these are stable, fully-tested, and a structural refactor this close to release carries more regression risk than the duplication itself.</w:t>
      </w:r>
    </w:p>
    <w:p>
      <w:pPr>
        <w:pStyle w:val="ListParagraph"/>
        <w:numPr>
          <w:ilvl w:val="0"/>
          <w:numId w:val="2"/>
        </w:numPr>
        <w:spacing w:after="100"/>
      </w:pPr>
      <w:r>
        <w:rPr>
          <w:rFonts w:ascii="Calibri" w:cs="Calibri" w:eastAsia="Calibri" w:hAnsi="Calibri"/>
          <w:b/>
          <w:bCs/>
          <w:sz w:val="22"/>
          <w:szCs w:val="22"/>
        </w:rPr>
        <w:t xml:space="preserve">Frontend AnalyzeError / AudioUploadError duplication: </w:t>
      </w:r>
      <w:r>
        <w:rPr>
          <w:rFonts w:ascii="Calibri" w:cs="Calibri" w:eastAsia="Calibri" w:hAnsi="Calibri"/>
          <w:sz w:val="22"/>
          <w:szCs w:val="22"/>
        </w:rPr>
        <w:t xml:space="preserve">two near-identical error classes in separate feature folders, acknowledged in both files' docstrings as intentional feature isolation. Worth a final consolidation call, not urgent.</w:t>
      </w:r>
    </w:p>
    <w:p>
      <w:pPr>
        <w:pStyle w:val="ListParagraph"/>
        <w:numPr>
          <w:ilvl w:val="0"/>
          <w:numId w:val="2"/>
        </w:numPr>
        <w:spacing w:after="100"/>
      </w:pPr>
      <w:r>
        <w:rPr>
          <w:rFonts w:ascii="Calibri" w:cs="Calibri" w:eastAsia="Calibri" w:hAnsi="Calibri"/>
          <w:b/>
          <w:bCs/>
          <w:sz w:val="22"/>
          <w:szCs w:val="22"/>
        </w:rPr>
        <w:t xml:space="preserve">Hand-mirrored TypeScript types: </w:t>
      </w:r>
      <w:r>
        <w:rPr>
          <w:rFonts w:ascii="Calibri" w:cs="Calibri" w:eastAsia="Calibri" w:hAnsi="Calibri"/>
          <w:sz w:val="22"/>
          <w:szCs w:val="22"/>
        </w:rPr>
        <w:t xml:space="preserve">results/types.ts has no codegen step and must be kept in sync with the backend's Pydantic models by a human. Verified fully consistent as of this audit (§6), but this is a standing maintenance cost that grows with the schema.</w:t>
      </w:r>
    </w:p>
    <w:p>
      <w:pPr>
        <w:pStyle w:val="ListParagraph"/>
        <w:numPr>
          <w:ilvl w:val="0"/>
          <w:numId w:val="2"/>
        </w:numPr>
        <w:spacing w:after="100"/>
      </w:pPr>
      <w:r>
        <w:rPr>
          <w:rFonts w:ascii="Calibri" w:cs="Calibri" w:eastAsia="Calibri" w:hAnsi="Calibri"/>
          <w:b/>
          <w:bCs/>
          <w:sz w:val="22"/>
          <w:szCs w:val="22"/>
        </w:rPr>
        <w:t xml:space="preserve">_BaseReasoningModule and the AudioIngestor Protocol: </w:t>
      </w:r>
      <w:r>
        <w:rPr>
          <w:rFonts w:ascii="Calibri" w:cs="Calibri" w:eastAsia="Calibri" w:hAnsi="Calibri"/>
          <w:sz w:val="22"/>
          <w:szCs w:val="22"/>
        </w:rPr>
        <w:t xml:space="preserve">both are documented, intentional architectural escape hatches (ADR 002, ADR 003) that are currently unused by any production module — kept alive only by their own dedicated tests. No action needed; worth a periodic “is this still earning its keep” review.</w:t>
      </w:r>
    </w:p>
    <w:p>
      <w:pPr>
        <w:pStyle w:val="Heading1"/>
        <w:spacing w:after="160" w:before="360"/>
      </w:pPr>
      <w:r>
        <w:t xml:space="preserve">6. Missing Production Features</w:t>
      </w:r>
    </w:p>
    <w:p>
      <w:pPr>
        <w:spacing w:after="160"/>
      </w:pPr>
      <w:r>
        <w:rPr>
          <w:rFonts w:ascii="Calibri" w:cs="Calibri" w:eastAsia="Calibri" w:hAnsi="Calibri"/>
          <w:sz w:val="22"/>
          <w:szCs w:val="22"/>
        </w:rPr>
        <w:t xml:space="preserve">These are gaps the project's own deployment guide (docs/deployment.md) already discloses; consolidated here for one-stop visibility ahead of v1.0 Final.</w:t>
      </w:r>
    </w:p>
    <w:p>
      <w:pPr>
        <w:pStyle w:val="ListParagraph"/>
        <w:numPr>
          <w:ilvl w:val="0"/>
          <w:numId w:val="2"/>
        </w:numPr>
        <w:spacing w:after="100"/>
      </w:pPr>
      <w:r>
        <w:rPr>
          <w:rFonts w:ascii="Calibri" w:cs="Calibri" w:eastAsia="Calibri" w:hAnsi="Calibri"/>
          <w:sz w:val="22"/>
          <w:szCs w:val="22"/>
        </w:rPr>
        <w:t xml:space="preserve">No authentication or authorization on any endpoint, including POST /analyze — anyone who can reach the server can submit audio and consume LLM provider credits.</w:t>
      </w:r>
    </w:p>
    <w:p>
      <w:pPr>
        <w:pStyle w:val="ListParagraph"/>
        <w:numPr>
          <w:ilvl w:val="0"/>
          <w:numId w:val="2"/>
        </w:numPr>
        <w:spacing w:after="100"/>
      </w:pPr>
      <w:r>
        <w:rPr>
          <w:rFonts w:ascii="Calibri" w:cs="Calibri" w:eastAsia="Calibri" w:hAnsi="Calibri"/>
          <w:sz w:val="22"/>
          <w:szCs w:val="22"/>
        </w:rPr>
        <w:t xml:space="preserve">No rate limiting beyond whatever the configured LLM vendor enforces on its own end.</w:t>
      </w:r>
    </w:p>
    <w:p>
      <w:pPr>
        <w:pStyle w:val="ListParagraph"/>
        <w:numPr>
          <w:ilvl w:val="0"/>
          <w:numId w:val="2"/>
        </w:numPr>
        <w:spacing w:after="100"/>
      </w:pPr>
      <w:r>
        <w:rPr>
          <w:rFonts w:ascii="Calibri" w:cs="Calibri" w:eastAsia="Calibri" w:hAnsi="Calibri"/>
          <w:sz w:val="22"/>
          <w:szCs w:val="22"/>
        </w:rPr>
        <w:t xml:space="preserve">No persistent database — RecordStore is an in-memory dict; all asset and session state is lost on process restart, and is not shared across multiple worker processes/replicas.</w:t>
      </w:r>
    </w:p>
    <w:p>
      <w:pPr>
        <w:pStyle w:val="ListParagraph"/>
        <w:numPr>
          <w:ilvl w:val="0"/>
          <w:numId w:val="2"/>
        </w:numPr>
        <w:spacing w:after="100"/>
      </w:pPr>
      <w:r>
        <w:rPr>
          <w:rFonts w:ascii="Calibri" w:cs="Calibri" w:eastAsia="Calibri" w:hAnsi="Calibri"/>
          <w:sz w:val="22"/>
          <w:szCs w:val="22"/>
        </w:rPr>
        <w:t xml:space="preserve">No CommunicationReport persistence — responses are not stored server-side; a client that loses its session data has no way to retrieve a past report.</w:t>
      </w:r>
    </w:p>
    <w:p>
      <w:pPr>
        <w:pStyle w:val="ListParagraph"/>
        <w:numPr>
          <w:ilvl w:val="0"/>
          <w:numId w:val="2"/>
        </w:numPr>
        <w:spacing w:after="100"/>
      </w:pPr>
      <w:r>
        <w:rPr>
          <w:rFonts w:ascii="Calibri" w:cs="Calibri" w:eastAsia="Calibri" w:hAnsi="Calibri"/>
          <w:sz w:val="22"/>
          <w:szCs w:val="22"/>
        </w:rPr>
        <w:t xml:space="preserve">No audio retention or cleanup policy — uploaded audio, which may contain sensitive spoken content, accumulates indefinitely in local temp storage with no expiry job.</w:t>
      </w:r>
    </w:p>
    <w:p>
      <w:pPr>
        <w:pStyle w:val="ListParagraph"/>
        <w:numPr>
          <w:ilvl w:val="0"/>
          <w:numId w:val="2"/>
        </w:numPr>
        <w:spacing w:after="100"/>
      </w:pPr>
      <w:r>
        <w:rPr>
          <w:rFonts w:ascii="Calibri" w:cs="Calibri" w:eastAsia="Calibri" w:hAnsi="Calibri"/>
          <w:sz w:val="22"/>
          <w:szCs w:val="22"/>
        </w:rPr>
        <w:t xml:space="preserve">Single transcription provider (OpenAI Whisper) with no fallback if it is unavailable.</w:t>
      </w:r>
    </w:p>
    <w:p>
      <w:pPr>
        <w:pStyle w:val="ListParagraph"/>
        <w:numPr>
          <w:ilvl w:val="0"/>
          <w:numId w:val="2"/>
        </w:numPr>
        <w:spacing w:after="100"/>
      </w:pPr>
      <w:r>
        <w:rPr>
          <w:rFonts w:ascii="Calibri" w:cs="Calibri" w:eastAsia="Calibri" w:hAnsi="Calibri"/>
          <w:sz w:val="22"/>
          <w:szCs w:val="22"/>
        </w:rPr>
        <w:t xml:space="preserve">No containerization (no Dockerfile/docker-compose) and no CI/CD pipeline configuration found in the repository.</w:t>
      </w:r>
    </w:p>
    <w:p>
      <w:pPr>
        <w:pStyle w:val="ListParagraph"/>
        <w:numPr>
          <w:ilvl w:val="0"/>
          <w:numId w:val="2"/>
        </w:numPr>
        <w:spacing w:after="100"/>
      </w:pPr>
      <w:r>
        <w:rPr>
          <w:rFonts w:ascii="Calibri" w:cs="Calibri" w:eastAsia="Calibri" w:hAnsi="Calibri"/>
          <w:sz w:val="22"/>
          <w:szCs w:val="22"/>
        </w:rPr>
        <w:t xml:space="preserve">No observability beyond structured stdout logs — no metrics, tracing, or error-reporting (e.g. Sentry) integration.</w:t>
      </w:r>
    </w:p>
    <w:p>
      <w:pPr>
        <w:pStyle w:val="Heading1"/>
        <w:spacing w:after="160" w:before="360"/>
      </w:pPr>
      <w:r>
        <w:t xml:space="preserve">7. Security Concerns</w:t>
      </w:r>
    </w:p>
    <w:p>
      <w:pPr>
        <w:pStyle w:val="ListParagraph"/>
        <w:numPr>
          <w:ilvl w:val="0"/>
          <w:numId w:val="2"/>
        </w:numPr>
        <w:spacing w:after="100"/>
      </w:pPr>
      <w:r>
        <w:rPr>
          <w:rFonts w:ascii="Calibri" w:cs="Calibri" w:eastAsia="Calibri" w:hAnsi="Calibri"/>
          <w:b/>
          <w:bCs/>
          <w:sz w:val="22"/>
          <w:szCs w:val="22"/>
        </w:rPr>
        <w:t xml:space="preserve">Next.js dependency has known critical and high-severity advisories (frontend). </w:t>
      </w:r>
      <w:r>
        <w:rPr>
          <w:rFonts w:ascii="Calibri" w:cs="Calibri" w:eastAsia="Calibri" w:hAnsi="Calibri"/>
          <w:sz w:val="22"/>
          <w:szCs w:val="22"/>
        </w:rPr>
        <w:t xml:space="preserve">The pinned version (15.1.11) has 19 published advisories against the 15.x line resolved by npm audit, including SSRF via middleware redirects, cache poisoning, content injection in image optimization, and HTTP request smuggling in rewrites. A fix is available (next@15.5.20) but requires a version bump outside package.json's current stated range — deliberately not applied in this pass to avoid introducing untested behavior change immediately before a release. This is the single highest-priority item in this report; see §9.</w:t>
      </w:r>
    </w:p>
    <w:p>
      <w:pPr>
        <w:pStyle w:val="ListParagraph"/>
        <w:numPr>
          <w:ilvl w:val="0"/>
          <w:numId w:val="2"/>
        </w:numPr>
        <w:spacing w:after="100"/>
      </w:pPr>
      <w:r>
        <w:rPr>
          <w:rFonts w:ascii="Calibri" w:cs="Calibri" w:eastAsia="Calibri" w:hAnsi="Calibri"/>
          <w:b/>
          <w:bCs/>
          <w:sz w:val="22"/>
          <w:szCs w:val="22"/>
        </w:rPr>
        <w:t xml:space="preserve">No authentication on any backend endpoint. </w:t>
      </w:r>
      <w:r>
        <w:rPr>
          <w:rFonts w:ascii="Calibri" w:cs="Calibri" w:eastAsia="Calibri" w:hAnsi="Calibri"/>
          <w:sz w:val="22"/>
          <w:szCs w:val="22"/>
        </w:rPr>
        <w:t xml:space="preserve">Every route, including the LLM-calling POST /analyze, is open to any caller who can reach the server. In any deployment beyond a private demo/internal tool, this needs to sit behind either application-level auth or a network boundary (VPN, internal-only ingress) before real users or real API budgets are exposed.</w:t>
      </w:r>
    </w:p>
    <w:p>
      <w:pPr>
        <w:pStyle w:val="ListParagraph"/>
        <w:numPr>
          <w:ilvl w:val="0"/>
          <w:numId w:val="2"/>
        </w:numPr>
        <w:spacing w:after="100"/>
      </w:pPr>
      <w:r>
        <w:rPr>
          <w:rFonts w:ascii="Calibri" w:cs="Calibri" w:eastAsia="Calibri" w:hAnsi="Calibri"/>
          <w:b/>
          <w:bCs/>
          <w:sz w:val="22"/>
          <w:szCs w:val="22"/>
        </w:rPr>
        <w:t xml:space="preserve">Uploaded audio is unencrypted at rest with no retention limit. </w:t>
      </w:r>
      <w:r>
        <w:rPr>
          <w:rFonts w:ascii="Calibri" w:cs="Calibri" w:eastAsia="Calibri" w:hAnsi="Calibri"/>
          <w:sz w:val="22"/>
          <w:szCs w:val="22"/>
        </w:rPr>
        <w:t xml:space="preserve">Spoken audio can be sensitive; local temp-directory storage with no expiry means it persists indefinitely and is only as protected as the host filesystem.</w:t>
      </w:r>
    </w:p>
    <w:p>
      <w:pPr>
        <w:pStyle w:val="ListParagraph"/>
        <w:numPr>
          <w:ilvl w:val="0"/>
          <w:numId w:val="2"/>
        </w:numPr>
        <w:spacing w:after="100"/>
      </w:pPr>
      <w:r>
        <w:rPr>
          <w:rFonts w:ascii="Calibri" w:cs="Calibri" w:eastAsia="Calibri" w:hAnsi="Calibri"/>
          <w:b/>
          <w:bCs/>
          <w:sz w:val="22"/>
          <w:szCs w:val="22"/>
        </w:rPr>
        <w:t xml:space="preserve">CORS defaults to localhost, correctly configurable per deployment. </w:t>
      </w:r>
      <w:r>
        <w:rPr>
          <w:rFonts w:ascii="Calibri" w:cs="Calibri" w:eastAsia="Calibri" w:hAnsi="Calibri"/>
          <w:sz w:val="22"/>
          <w:szCs w:val="22"/>
        </w:rPr>
        <w:t xml:space="preserve">Verified this is read from environment configuration (CORS_ORIGINS) and not hardcoded — not a bug, just a reminder to set it before any non-local deployment.</w:t>
      </w:r>
    </w:p>
    <w:p>
      <w:pPr>
        <w:pStyle w:val="ListParagraph"/>
        <w:numPr>
          <w:ilvl w:val="0"/>
          <w:numId w:val="2"/>
        </w:numPr>
        <w:spacing w:after="100"/>
      </w:pPr>
      <w:r>
        <w:rPr>
          <w:rFonts w:ascii="Calibri" w:cs="Calibri" w:eastAsia="Calibri" w:hAnsi="Calibri"/>
          <w:b/>
          <w:bCs/>
          <w:sz w:val="22"/>
          <w:szCs w:val="22"/>
        </w:rPr>
        <w:t xml:space="preserve">Secrets handling is sound. </w:t>
      </w:r>
      <w:r>
        <w:rPr>
          <w:rFonts w:ascii="Calibri" w:cs="Calibri" w:eastAsia="Calibri" w:hAnsi="Calibri"/>
          <w:sz w:val="22"/>
          <w:szCs w:val="22"/>
        </w:rPr>
        <w:t xml:space="preserve">Verified API keys are read only from environment variables, never logged (log lines include model/latency/token counts, never raw keys, prompts, or responses), and never committed — confirmed via docs/deployment.md's own disclosure and a source read of app/llm/reasoner.py's logging calls.</w:t>
      </w:r>
    </w:p>
    <w:p>
      <w:pPr>
        <w:pStyle w:val="ListParagraph"/>
        <w:numPr>
          <w:ilvl w:val="0"/>
          <w:numId w:val="2"/>
        </w:numPr>
        <w:spacing w:after="100"/>
      </w:pPr>
      <w:r>
        <w:rPr>
          <w:rFonts w:ascii="Calibri" w:cs="Calibri" w:eastAsia="Calibri" w:hAnsi="Calibri"/>
          <w:b/>
          <w:bCs/>
          <w:sz w:val="22"/>
          <w:szCs w:val="22"/>
        </w:rPr>
        <w:t xml:space="preserve">Frontend npm audit also flags a moderate esbuild/vite advisory </w:t>
      </w:r>
      <w:r>
        <w:rPr>
          <w:rFonts w:ascii="Calibri" w:cs="Calibri" w:eastAsia="Calibri" w:hAnsi="Calibri"/>
          <w:sz w:val="22"/>
          <w:szCs w:val="22"/>
        </w:rPr>
        <w:t xml:space="preserve">(dev-server request forgery) scoped to the dev/test toolchain (vitest’s dependency chain), not the production bundle — lower priority than the Next.js item above.</w:t>
      </w:r>
    </w:p>
    <w:p>
      <w:pPr>
        <w:pStyle w:val="Heading1"/>
        <w:spacing w:after="160" w:before="360"/>
      </w:pPr>
      <w:r>
        <w:t xml:space="preserve">8. Performance Concerns</w:t>
      </w:r>
    </w:p>
    <w:p>
      <w:pPr>
        <w:pStyle w:val="ListParagraph"/>
        <w:numPr>
          <w:ilvl w:val="0"/>
          <w:numId w:val="2"/>
        </w:numPr>
        <w:spacing w:after="100"/>
      </w:pPr>
      <w:r>
        <w:rPr>
          <w:rFonts w:ascii="Calibri" w:cs="Calibri" w:eastAsia="Calibri" w:hAnsi="Calibri"/>
          <w:b/>
          <w:bCs/>
          <w:sz w:val="22"/>
          <w:szCs w:val="22"/>
        </w:rPr>
        <w:t xml:space="preserve">/results is the heaviest route: </w:t>
      </w:r>
      <w:r>
        <w:rPr>
          <w:rFonts w:ascii="Calibri" w:cs="Calibri" w:eastAsia="Calibri" w:hAnsi="Calibri"/>
          <w:sz w:val="22"/>
          <w:szCs w:val="22"/>
        </w:rPr>
        <w:t xml:space="preserve">232 kB First Load JS (118 kB page-specific), almost entirely attributable to Recharts (ScoreOverview.tsx, ModuleScoreBreakdown.tsx). Not a regression from this pass — confirmed via a byte-for-byte comparison against the pre-audit build — but worth watching if more chart-heavy features are added later. A code-split/lazy-load of the chart components would be the natural first optimization if this becomes a real user-facing concern.</w:t>
      </w:r>
    </w:p>
    <w:p>
      <w:pPr>
        <w:pStyle w:val="ListParagraph"/>
        <w:numPr>
          <w:ilvl w:val="0"/>
          <w:numId w:val="2"/>
        </w:numPr>
        <w:spacing w:after="100"/>
      </w:pPr>
      <w:r>
        <w:rPr>
          <w:rFonts w:ascii="Calibri" w:cs="Calibri" w:eastAsia="Calibri" w:hAnsi="Calibri"/>
          <w:b/>
          <w:bCs/>
          <w:sz w:val="22"/>
          <w:szCs w:val="22"/>
        </w:rPr>
        <w:t xml:space="preserve">POST /analyze latency is dominated by two sequential LLM calls </w:t>
      </w:r>
      <w:r>
        <w:rPr>
          <w:rFonts w:ascii="Calibri" w:cs="Calibri" w:eastAsia="Calibri" w:hAnsi="Calibri"/>
          <w:sz w:val="22"/>
          <w:szCs w:val="22"/>
        </w:rPr>
        <w:t xml:space="preserve">(one shared reasoning pass, one coaching call) plus transcription time, as already documented in docs/deployment.md. No changes made in this pass affect this; noted here only because “performance concerns” was explicitly in scope — this is an architectural characteristic, not a defect, and parallelizing the two LLM calls was intentionally not attempted here since correctness of coaching depends on the finished analysis report.</w:t>
      </w:r>
    </w:p>
    <w:p>
      <w:pPr>
        <w:pStyle w:val="ListParagraph"/>
        <w:numPr>
          <w:ilvl w:val="0"/>
          <w:numId w:val="2"/>
        </w:numPr>
        <w:spacing w:after="100"/>
      </w:pPr>
      <w:r>
        <w:rPr>
          <w:rFonts w:ascii="Calibri" w:cs="Calibri" w:eastAsia="Calibri" w:hAnsi="Calibri"/>
          <w:b/>
          <w:bCs/>
          <w:sz w:val="22"/>
          <w:szCs w:val="22"/>
        </w:rPr>
        <w:t xml:space="preserve">Multi-worker/multi-replica deployment has a correctness caveat, not just a performance one: </w:t>
      </w:r>
      <w:r>
        <w:rPr>
          <w:rFonts w:ascii="Calibri" w:cs="Calibri" w:eastAsia="Calibri" w:hAnsi="Calibri"/>
          <w:sz w:val="22"/>
          <w:szCs w:val="22"/>
        </w:rPr>
        <w:t xml:space="preserve">AudioBlobStore and RecordStore are process-local, so the two-step upload-then-transcribe flow (not POST /analyze, which is single-request end-to-end) can 404 under a load balancer routing requests to different workers. Already documented in docs/deployment.md — restated here since it directly affects horizontal scaling plans.</w:t>
      </w:r>
    </w:p>
    <w:p>
      <w:pPr>
        <w:pStyle w:val="Heading1"/>
        <w:spacing w:after="160" w:before="360"/>
      </w:pPr>
      <w:r>
        <w:t xml:space="preserve">9. Recommended Fixes Before v1.0 Final</w:t>
      </w:r>
    </w:p>
    <w:p>
      <w:pPr>
        <w:spacing w:after="160"/>
      </w:pPr>
      <w:r>
        <w:rPr>
          <w:rFonts w:ascii="Calibri" w:cs="Calibri" w:eastAsia="Calibri" w:hAnsi="Calibri"/>
          <w:sz w:val="22"/>
          <w:szCs w:val="22"/>
        </w:rPr>
        <w:t xml:space="preserve">In priority order:</w:t>
      </w:r>
    </w:p>
    <w:p>
      <w:pPr>
        <w:pStyle w:val="ListParagraph"/>
        <w:numPr>
          <w:ilvl w:val="0"/>
          <w:numId w:val="2"/>
        </w:numPr>
        <w:spacing w:after="100"/>
      </w:pPr>
      <w:r>
        <w:rPr>
          <w:rFonts w:ascii="Calibri" w:cs="Calibri" w:eastAsia="Calibri" w:hAnsi="Calibri"/>
          <w:b/>
          <w:bCs/>
          <w:sz w:val="22"/>
          <w:szCs w:val="22"/>
        </w:rPr>
        <w:t xml:space="preserve">1. Upgrade Next.js </w:t>
      </w:r>
      <w:r>
        <w:rPr>
          <w:rFonts w:ascii="Calibri" w:cs="Calibri" w:eastAsia="Calibri" w:hAnsi="Calibri"/>
          <w:sz w:val="22"/>
          <w:szCs w:val="22"/>
        </w:rPr>
        <w:t xml:space="preserve">off 15.1.11 to a patched 15.x release (npm audit resolves to 15.5.20) and re-run the full frontend verification suite (tsc, eslint, vitest, build) against the new version before shipping. This is the only finding in this report classified as a real pre-Final blocker.</w:t>
      </w:r>
    </w:p>
    <w:p>
      <w:pPr>
        <w:pStyle w:val="ListParagraph"/>
        <w:numPr>
          <w:ilvl w:val="0"/>
          <w:numId w:val="2"/>
        </w:numPr>
        <w:spacing w:after="100"/>
      </w:pPr>
      <w:r>
        <w:rPr>
          <w:rFonts w:ascii="Calibri" w:cs="Calibri" w:eastAsia="Calibri" w:hAnsi="Calibri"/>
          <w:b/>
          <w:bCs/>
          <w:sz w:val="22"/>
          <w:szCs w:val="22"/>
        </w:rPr>
        <w:t xml:space="preserve">2. Decide on an authentication story </w:t>
      </w:r>
      <w:r>
        <w:rPr>
          <w:rFonts w:ascii="Calibri" w:cs="Calibri" w:eastAsia="Calibri" w:hAnsi="Calibri"/>
          <w:sz w:val="22"/>
          <w:szCs w:val="22"/>
        </w:rPr>
        <w:t xml:space="preserve">before any deployment beyond an internal/demo audience — even a minimal API-key-in-header gate would close the “anyone can spend our LLM budget” exposure.</w:t>
      </w:r>
    </w:p>
    <w:p>
      <w:pPr>
        <w:pStyle w:val="ListParagraph"/>
        <w:numPr>
          <w:ilvl w:val="0"/>
          <w:numId w:val="2"/>
        </w:numPr>
        <w:spacing w:after="100"/>
      </w:pPr>
      <w:r>
        <w:rPr>
          <w:rFonts w:ascii="Calibri" w:cs="Calibri" w:eastAsia="Calibri" w:hAnsi="Calibri"/>
          <w:b/>
          <w:bCs/>
          <w:sz w:val="22"/>
          <w:szCs w:val="22"/>
        </w:rPr>
        <w:t xml:space="preserve">3. Add an audio retention/cleanup job </w:t>
      </w:r>
      <w:r>
        <w:rPr>
          <w:rFonts w:ascii="Calibri" w:cs="Calibri" w:eastAsia="Calibri" w:hAnsi="Calibri"/>
          <w:sz w:val="22"/>
          <w:szCs w:val="22"/>
        </w:rPr>
        <w:t xml:space="preserve">for uploaded temp files, or move to a storage backend with a native TTL (e.g. an S3 lifecycle rule) — both a privacy and a disk-usage concern.</w:t>
      </w:r>
    </w:p>
    <w:p>
      <w:pPr>
        <w:pStyle w:val="ListParagraph"/>
        <w:numPr>
          <w:ilvl w:val="0"/>
          <w:numId w:val="2"/>
        </w:numPr>
        <w:spacing w:after="100"/>
      </w:pPr>
      <w:r>
        <w:rPr>
          <w:rFonts w:ascii="Calibri" w:cs="Calibri" w:eastAsia="Calibri" w:hAnsi="Calibri"/>
          <w:b/>
          <w:bCs/>
          <w:sz w:val="22"/>
          <w:szCs w:val="22"/>
        </w:rPr>
        <w:t xml:space="preserve">4. Convert PromptTemplate.render()'s ValueError into a typed LLMError </w:t>
      </w:r>
      <w:r>
        <w:rPr>
          <w:rFonts w:ascii="Calibri" w:cs="Calibri" w:eastAsia="Calibri" w:hAnsi="Calibri"/>
          <w:sz w:val="22"/>
          <w:szCs w:val="22"/>
        </w:rPr>
        <w:t xml:space="preserve">(§4) so a future prompt-template edit fails with the same clean, reason-coded error shape as every other LLM failure, rather than relying solely on the generic safety net.</w:t>
      </w:r>
    </w:p>
    <w:p>
      <w:pPr>
        <w:pStyle w:val="ListParagraph"/>
        <w:numPr>
          <w:ilvl w:val="0"/>
          <w:numId w:val="2"/>
        </w:numPr>
        <w:spacing w:after="100"/>
      </w:pPr>
      <w:r>
        <w:rPr>
          <w:rFonts w:ascii="Calibri" w:cs="Calibri" w:eastAsia="Calibri" w:hAnsi="Calibri"/>
          <w:b/>
          <w:bCs/>
          <w:sz w:val="22"/>
          <w:szCs w:val="22"/>
        </w:rPr>
        <w:t xml:space="preserve">5. Plan the codegen or contract-testing story </w:t>
      </w:r>
      <w:r>
        <w:rPr>
          <w:rFonts w:ascii="Calibri" w:cs="Calibri" w:eastAsia="Calibri" w:hAnsi="Calibri"/>
          <w:sz w:val="22"/>
          <w:szCs w:val="22"/>
        </w:rPr>
        <w:t xml:space="preserve">for the frontend's hand-mirrored types before the backend schema grows much further — verified fully in sync today, but that verification was a manual, one-time pass, not an enforced invariant.</w:t>
      </w:r>
    </w:p>
    <w:p>
      <w:pPr>
        <w:pStyle w:val="ListParagraph"/>
        <w:numPr>
          <w:ilvl w:val="0"/>
          <w:numId w:val="2"/>
        </w:numPr>
        <w:spacing w:after="100"/>
      </w:pPr>
      <w:r>
        <w:rPr>
          <w:rFonts w:ascii="Calibri" w:cs="Calibri" w:eastAsia="Calibri" w:hAnsi="Calibri"/>
          <w:b/>
          <w:bCs/>
          <w:sz w:val="22"/>
          <w:szCs w:val="22"/>
        </w:rPr>
        <w:t xml:space="preserve">6. Add a Dockerfile and a CI workflow </w:t>
      </w:r>
      <w:r>
        <w:rPr>
          <w:rFonts w:ascii="Calibri" w:cs="Calibri" w:eastAsia="Calibri" w:hAnsi="Calibri"/>
          <w:sz w:val="22"/>
          <w:szCs w:val="22"/>
        </w:rPr>
        <w:t xml:space="preserve">(lint + typecheck + both test suites, at minimum) if there isn't already an external CI system this repository doesn't show evidence of — currently every verification in this report was run by hand.</w:t>
      </w:r>
    </w:p>
    <w:p>
      <w:pPr>
        <w:pStyle w:val="ListParagraph"/>
        <w:numPr>
          <w:ilvl w:val="0"/>
          <w:numId w:val="2"/>
        </w:numPr>
        <w:spacing w:after="100"/>
      </w:pPr>
      <w:r>
        <w:rPr>
          <w:rFonts w:ascii="Calibri" w:cs="Calibri" w:eastAsia="Calibri" w:hAnsi="Calibri"/>
          <w:b/>
          <w:bCs/>
          <w:sz w:val="22"/>
          <w:szCs w:val="22"/>
        </w:rPr>
        <w:t xml:space="preserve">7. Revisit persistence </w:t>
      </w:r>
      <w:r>
        <w:rPr>
          <w:rFonts w:ascii="Calibri" w:cs="Calibri" w:eastAsia="Calibri" w:hAnsi="Calibri"/>
          <w:sz w:val="22"/>
          <w:szCs w:val="22"/>
        </w:rPr>
        <w:t xml:space="preserve">(a real database for RecordStore, and storage for CommunicationReport) once the product needs multi-replica deployment or report history — not needed for a single-instance RC, but the natural next architectural milestone.</w:t>
      </w:r>
    </w:p>
    <w:p>
      <w:pPr>
        <w:spacing w:after="160"/>
      </w:pPr>
      <w:r>
        <w:rPr>
          <w:rFonts w:ascii="Calibri" w:cs="Calibri" w:eastAsia="Calibri" w:hAnsi="Calibri"/>
          <w:sz w:val="22"/>
          <w:szCs w:val="22"/>
        </w:rPr>
        <w:t xml:space="preserve"/>
      </w:r>
    </w:p>
    <w:p>
      <w:pPr>
        <w:spacing w:after="160"/>
      </w:pPr>
      <w:r>
        <w:rPr>
          <w:rFonts w:ascii="Calibri" w:cs="Calibri" w:eastAsia="Calibri" w:hAnsi="Calibri"/>
          <w:i/>
          <w:iCs/>
          <w:sz w:val="22"/>
          <w:szCs w:val="22"/>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2026-07-16T14:44:28.405Z</dcterms:created>
  <dcterms:modified xsi:type="dcterms:W3CDTF">2026-07-16T14:44:28.405Z</dcterms:modified>
</cp:coreProperties>
</file>

<file path=docProps/custom.xml><?xml version="1.0" encoding="utf-8"?>
<Properties xmlns="http://schemas.openxmlformats.org/officeDocument/2006/custom-properties" xmlns:vt="http://schemas.openxmlformats.org/officeDocument/2006/docPropsVTypes"/>
</file>