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6B87"/>
          <w:sz w:val="32"/>
        </w:rPr>
        <w:t>AICTE PS1</w:t>
      </w:r>
    </w:p>
    <w:p>
      <w:pPr>
        <w:pStyle w:val="Title"/>
        <w:jc w:val="center"/>
      </w:pPr>
      <w:r>
        <w:t>Security Deposit &amp; FDR Lifecycle</w:t>
        <w:br/>
        <w:t>Research Survey</w:t>
      </w:r>
    </w:p>
    <w:p>
      <w:pPr>
        <w:jc w:val="center"/>
      </w:pPr>
      <w:r>
        <w:rPr>
          <w:color w:val="505F69"/>
          <w:sz w:val="24"/>
        </w:rPr>
        <w:t>Current-state evidence • Technical literature • Dataset assessment • Proposed research direction</w:t>
      </w:r>
    </w:p>
    <w:p/>
    <w:p>
      <w:pPr>
        <w:jc w:val="center"/>
      </w:pPr>
      <w:r>
        <w:rPr>
          <w:b/>
        </w:rPr>
        <w:t>Prepared for SIH problem-statement analysis</w:t>
      </w:r>
    </w:p>
    <w:p>
      <w:pPr>
        <w:jc w:val="center"/>
      </w:pPr>
      <w:r>
        <w:t>Research cut-off: 26 October 2026</w:t>
      </w:r>
    </w:p>
    <w:p/>
    <w:p>
      <w:pPr>
        <w:jc w:val="center"/>
      </w:pPr>
      <w:r>
        <w:t>Important: This is a desk-research survey, not an official AICTE system audit. Claims about current deployed features are limited to what the cited sources establish.</w:t>
      </w:r>
    </w:p>
    <w:p>
      <w:r>
        <w:br w:type="page"/>
      </w:r>
    </w:p>
    <w:p>
      <w:pPr>
        <w:pStyle w:val="Heading1"/>
      </w:pPr>
      <w:r>
        <w:t>Executive summary</w:t>
      </w:r>
    </w:p>
    <w:p>
      <w:r>
        <w:t>This survey examines AICTE Problem Statement 1 (PS1), concerning management of security deposits and fixed deposit receipts (FDRs). The strongest primary-source finding is that AICTE's e-Governance RFP already documents an online process for institutions to apply for refunds of matured FDs and track application progress. The RFP describes document submission, review by Regional Office (RO), Vigilance and headquarters cells, deficiency-driven resubmission, and release after the required verification. The AICTE Approval Process Handbook 2024–2027 separately specifies the documents and clearances required for release of an FDR/RTGS.</w:t>
      </w:r>
    </w:p>
    <w:p>
      <w:r>
        <w:t>Therefore, the project must not be framed as creating the first online FDR-refund portal or introducing application tracking from scratch. A defensible potential contribution is an evidence-linked verification and lifecycle layer: structured instrument records, document-field consistency checks, integrity tracking, supported digital-signature validation, duplicate detection, deadline monitoring, and a traceable review dossier. These are candidate improvements, not proven gaps in AICTE's deployed system; the current portal's full capabilities remain to be independently established.</w:t>
      </w:r>
    </w:p>
    <w:p>
      <w:r>
        <w:t>No public, FDR-specific, AICTE-authorised dataset was identified in the sources reviewed for this survey. Public document-tampering and financial-OCR datasets may inform component-level research, but they are not substitutes for real FDR records and may have licence or domain-transfer limitations. Any prototype should use synthetic FDR data unless appropriate data access and permission are obtained.</w:t>
      </w:r>
    </w:p>
    <w:p>
      <w:pPr>
        <w:pStyle w:val="Heading2"/>
      </w:pPr>
      <w:r>
        <w:t>How to use this report</w:t>
      </w:r>
    </w:p>
    <w:p>
      <w:pPr>
        <w:pStyle w:val="ListBullet"/>
        <w:spacing w:after="40"/>
      </w:pPr>
      <w:r>
        <w:t>Use Sections 1–3 to explain the official process and avoid inaccurate claims about the current system.</w:t>
      </w:r>
    </w:p>
    <w:p>
      <w:pPr>
        <w:pStyle w:val="ListBullet"/>
        <w:spacing w:after="40"/>
      </w:pPr>
      <w:r>
        <w:t>Use Sections 4–7 to justify a technically grounded proposed solution.</w:t>
      </w:r>
    </w:p>
    <w:p>
      <w:pPr>
        <w:pStyle w:val="ListBullet"/>
        <w:spacing w:after="40"/>
      </w:pPr>
      <w:r>
        <w:t>Use Sections 8–9 for datasets, evaluation, security, and feasibility.</w:t>
      </w:r>
    </w:p>
    <w:p>
      <w:pPr>
        <w:pStyle w:val="ListBullet"/>
        <w:spacing w:after="40"/>
      </w:pPr>
      <w:r>
        <w:t>Use Section 11 as a starting reference list for the six-slide PPT. Re-check every source, version, and licence before submission.</w:t>
      </w:r>
    </w:p>
    <w:p>
      <w:pPr>
        <w:pStyle w:val="ListBullet"/>
        <w:spacing w:after="40"/>
      </w:pPr>
      <w:r>
        <w:t>Treat all proposed architecture and improvement areas as design recommendations, not AICTE-endorsed requirements.</w:t>
      </w:r>
    </w:p>
    <w:p>
      <w:pPr>
        <w:pStyle w:val="Heading1"/>
      </w:pPr>
      <w:r>
        <w:t>1. Scope and research questions</w:t>
      </w:r>
    </w:p>
    <w:p>
      <w:r>
        <w:t>The survey is organised around six questions:</w:t>
      </w:r>
    </w:p>
    <w:p>
      <w:pPr>
        <w:pStyle w:val="ListNumber"/>
        <w:spacing w:after="40"/>
      </w:pPr>
      <w:r>
        <w:t>What does AICTE officially document about the FDR/security-deposit release process?</w:t>
      </w:r>
    </w:p>
    <w:p>
      <w:pPr>
        <w:pStyle w:val="ListNumber"/>
        <w:spacing w:after="40"/>
      </w:pPr>
      <w:r>
        <w:t>Which roles, documents, clearances and workflow outcomes are explicitly specified?</w:t>
      </w:r>
    </w:p>
    <w:p>
      <w:pPr>
        <w:pStyle w:val="ListNumber"/>
        <w:spacing w:after="40"/>
      </w:pPr>
      <w:r>
        <w:t>What can we safely claim about existing online capabilities—and what remains unknown?</w:t>
      </w:r>
    </w:p>
    <w:p>
      <w:pPr>
        <w:pStyle w:val="ListNumber"/>
        <w:spacing w:after="40"/>
      </w:pPr>
      <w:r>
        <w:t>Which technical methods can support document integrity, field extraction, cross-document checks and review traceability?</w:t>
      </w:r>
    </w:p>
    <w:p>
      <w:pPr>
        <w:pStyle w:val="ListNumber"/>
        <w:spacing w:after="40"/>
      </w:pPr>
      <w:r>
        <w:t>What datasets are available, what do they actually represent, and what are their limitations?</w:t>
      </w:r>
    </w:p>
    <w:p>
      <w:pPr>
        <w:pStyle w:val="ListNumber"/>
        <w:spacing w:after="40"/>
      </w:pPr>
      <w:r>
        <w:t>What can a three-person team implement and evaluate without access to confidential AICTE or bank records?</w:t>
      </w:r>
    </w:p>
    <w:p>
      <w:pPr>
        <w:pStyle w:val="Heading1"/>
      </w:pPr>
      <w:r>
        <w:t>2. Current-state findings from primary sources</w:t>
      </w:r>
    </w:p>
    <w:p>
      <w:pPr>
        <w:pStyle w:val="Heading2"/>
      </w:pPr>
      <w:r>
        <w:t>2.1 AICTE e-Governance RFP: JFDR process</w:t>
      </w:r>
    </w:p>
    <w:p>
      <w:r>
        <w:t>The AICTE e-Governance RFP, Tender No. AICTE/e-Gov/NEW-SYSTEMS/272, Section 7.2.2 (JFDR), describes the objective as an online process for institutions to apply for refund of matured FDs, with application progress tracking. It states that institute eligibility and FD maturity details are checked before refund approval. The described steps include filling in details and attaching documents in the e-Governance portal; verification by RO, Vigilance and HQ cells; release when required verification is complete; or recording a deficiency and returning the application for resubmission.</w:t>
      </w:r>
    </w:p>
    <w:p>
      <w:r>
        <w:t>Documents listed in the RFP include:</w:t>
      </w:r>
    </w:p>
    <w:p>
      <w:pPr>
        <w:pStyle w:val="ListBullet"/>
        <w:spacing w:after="40"/>
      </w:pPr>
      <w:r>
        <w:t>Copy of Letter of Intent (LOI).</w:t>
      </w:r>
    </w:p>
    <w:p>
      <w:pPr>
        <w:pStyle w:val="ListBullet"/>
        <w:spacing w:after="40"/>
      </w:pPr>
      <w:r>
        <w:t>Copy of Letter of Approval (LOA).</w:t>
      </w:r>
    </w:p>
    <w:p>
      <w:pPr>
        <w:pStyle w:val="ListBullet"/>
        <w:spacing w:after="40"/>
      </w:pPr>
      <w:r>
        <w:t>Scanned copy of the FDR (described as original scanned copy in the table).</w:t>
      </w:r>
    </w:p>
    <w:p>
      <w:pPr>
        <w:pStyle w:val="ListBullet"/>
        <w:spacing w:after="40"/>
      </w:pPr>
      <w:r>
        <w:t>Affidavit.</w:t>
      </w:r>
    </w:p>
    <w:p>
      <w:pPr>
        <w:pStyle w:val="ListBullet"/>
        <w:spacing w:after="40"/>
      </w:pPr>
      <w:r>
        <w:t>Institute-closure document, where applicable.</w:t>
      </w:r>
    </w:p>
    <w:p>
      <w:pPr>
        <w:pStyle w:val="ListBullet"/>
        <w:spacing w:after="40"/>
      </w:pPr>
      <w:r>
        <w:t>EOA attachment.</w:t>
      </w:r>
    </w:p>
    <w:p>
      <w:r>
        <w:rPr>
          <w:b/>
        </w:rPr>
        <w:t xml:space="preserve">Interpretation: </w:t>
      </w:r>
      <w:r>
        <w:t>This is direct evidence of a documented online refund workflow and tracking capability. It does not, by itself, establish every feature available in the portal today, nor prove whether any specific verification is automated, manual, or supported by an external bank integration.</w:t>
      </w:r>
    </w:p>
    <w:p>
      <w:pPr>
        <w:spacing w:after="60"/>
      </w:pPr>
      <w:r>
        <w:rPr>
          <w:b/>
        </w:rPr>
        <w:t xml:space="preserve">Primary source — AICTE e-Governance RFP, Section 7.2.2 (JFDR), around PDF page 68 — </w:t>
      </w:r>
      <w:hyperlink r:id="rId11">
        <w:r>
          <w:rPr>
            <w:color w:val="0563C1"/>
            <w:u w:val="single"/>
          </w:rPr>
          <w:t>https://aicte.gov.in/sites/default/files/RFPeGov.pdf</w:t>
        </w:r>
      </w:hyperlink>
      <w:r>
        <w:t xml:space="preserve">  Official PDF; use the section/page citation rather than a secondary summary.</w:t>
      </w:r>
    </w:p>
    <w:p>
      <w:pPr>
        <w:pStyle w:val="Heading2"/>
      </w:pPr>
      <w:r>
        <w:t>2.2 Approval Process Handbook 2024–2027: release requirements</w:t>
      </w:r>
    </w:p>
    <w:p>
      <w:r>
        <w:t>Section 6.46, 'Release of Security Deposit', states that the Trust/Society/Company uploads or submits documents on the AICTE web portal for release of FDR/RTGS. The listed items include an institution request letter, Affidavit 6 with institution and FDR/RTGS details, a copy of the FDR to be released and relevant RPGF/security-deposit payment evidence, and the latest LoA/EoA.</w:t>
      </w:r>
    </w:p>
    <w:p>
      <w:r>
        <w:t>The handbook says clearance from the Public Grievance Redressal Cell (PGRC), Vigilance Cell and other relevant cells/bureaus is required for FDR release. After the required clearances, the Approval Bureau issues an NOC for FDR/RPGF. For RTGS, a sanction order is issued by the Council. It also says security deposits are not to be released where an institution has financial embezzlement with government bodies/banks until the relevant NOC is received, and that violations of security-deposit norms may lead to penal action.</w:t>
      </w:r>
    </w:p>
    <w:p>
      <w:r>
        <w:rPr>
          <w:b/>
        </w:rPr>
        <w:t xml:space="preserve">Design implication: </w:t>
      </w:r>
      <w:r>
        <w:t>The proposed application should model required clearances and evidence as configurable workflow rules. It must not automatically approve or release an FDR merely because an OCR or ML check passes.</w:t>
      </w:r>
    </w:p>
    <w:p>
      <w:pPr>
        <w:spacing w:after="60"/>
      </w:pPr>
      <w:r>
        <w:rPr>
          <w:b/>
        </w:rPr>
        <w:t xml:space="preserve">Primary source — AICTE Approval Process Handbook 2024–2027, Section 6.46 — </w:t>
      </w:r>
      <w:hyperlink r:id="rId12">
        <w:r>
          <w:rPr>
            <w:color w:val="0563C1"/>
            <w:u w:val="single"/>
          </w:rPr>
          <w:t>https://www.aicte.gov.in/sites/default/files/APH%20Final.pdf</w:t>
        </w:r>
      </w:hyperlink>
      <w:r>
        <w:t xml:space="preserve">  Official handbook; confirm that this is the applicable version before encoding rules.</w:t>
      </w:r>
    </w:p>
    <w:p>
      <w:pPr>
        <w:pStyle w:val="Heading2"/>
      </w:pPr>
      <w:r>
        <w:t>2.3 Older handbook: bank-manager certificate format</w:t>
      </w:r>
    </w:p>
    <w:p>
      <w:r>
        <w:t>An older AICTE Approval Process Handbook includes a bank-manager certificate format with fields for bank details, FDR number, deposit/maturity dates, amount, authenticity, and whether the FDR is under a loan or mortgage. This indicates that bank authenticity and encumbrance status have been recognised in the documented process. It does not establish that the current portal performs automated bank verification or that banks expose a general-purpose verification API.</w:t>
      </w:r>
    </w:p>
    <w:p>
      <w:pPr>
        <w:spacing w:after="60"/>
      </w:pPr>
      <w:r>
        <w:rPr>
          <w:b/>
        </w:rPr>
        <w:t xml:space="preserve">Historical/older source — AICTE Approval Process Handbook (revised) — </w:t>
      </w:r>
      <w:hyperlink r:id="rId13">
        <w:r>
          <w:rPr>
            <w:color w:val="0563C1"/>
            <w:u w:val="single"/>
          </w:rPr>
          <w:t>https://aicte.gov.in/sites/default/files/Approval%20Process%20Handbook%20-%20Revised.pdf</w:t>
        </w:r>
      </w:hyperlink>
      <w:r>
        <w:t xml:space="preserve">  Use as historical context only; do not treat older wording as current policy without confirmation.</w:t>
      </w:r>
    </w:p>
    <w:p>
      <w:pPr>
        <w:pStyle w:val="Heading2"/>
      </w:pPr>
      <w:r>
        <w:t>2.4 Current-state summary: known versus unknown</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2304A"/>
          </w:tcPr>
          <w:p>
            <w:pPr>
              <w:spacing w:after="20"/>
            </w:pPr>
            <w:r/>
            <w:r>
              <w:rPr>
                <w:rFonts w:ascii="Aptos" w:hAnsi="Aptos"/>
                <w:b/>
                <w:color w:val="FFFFFF"/>
                <w:sz w:val="15"/>
              </w:rPr>
              <w:t>Topic</w:t>
            </w:r>
          </w:p>
        </w:tc>
        <w:tc>
          <w:tcPr>
            <w:tcW w:type="dxa" w:w="3672"/>
            <w:vAlign w:val="center"/>
            <w:shd w:fill="12304A"/>
          </w:tcPr>
          <w:p>
            <w:pPr>
              <w:spacing w:after="20"/>
            </w:pPr>
            <w:r/>
            <w:r>
              <w:rPr>
                <w:rFonts w:ascii="Aptos" w:hAnsi="Aptos"/>
                <w:b/>
                <w:color w:val="FFFFFF"/>
                <w:sz w:val="15"/>
              </w:rPr>
              <w:t>Confirmed by reviewed sources</w:t>
            </w:r>
          </w:p>
        </w:tc>
        <w:tc>
          <w:tcPr>
            <w:tcW w:type="dxa" w:w="4320"/>
            <w:vAlign w:val="center"/>
            <w:shd w:fill="12304A"/>
          </w:tcPr>
          <w:p>
            <w:pPr>
              <w:spacing w:after="20"/>
            </w:pPr>
            <w:r/>
            <w:r>
              <w:rPr>
                <w:rFonts w:ascii="Aptos" w:hAnsi="Aptos"/>
                <w:b/>
                <w:color w:val="FFFFFF"/>
                <w:sz w:val="15"/>
              </w:rPr>
              <w:t>Still to verify</w:t>
            </w:r>
          </w:p>
        </w:tc>
      </w:tr>
      <w:tr>
        <w:tc>
          <w:tcPr>
            <w:tcW w:type="dxa" w:w="1728"/>
            <w:vAlign w:val="center"/>
          </w:tcPr>
          <w:p>
            <w:pPr>
              <w:spacing w:after="20"/>
            </w:pPr>
            <w:r/>
            <w:r>
              <w:rPr>
                <w:rFonts w:ascii="Aptos" w:hAnsi="Aptos"/>
                <w:b w:val="0"/>
                <w:sz w:val="15"/>
              </w:rPr>
              <w:t>Online applications</w:t>
            </w:r>
          </w:p>
        </w:tc>
        <w:tc>
          <w:tcPr>
            <w:tcW w:type="dxa" w:w="3672"/>
            <w:vAlign w:val="center"/>
          </w:tcPr>
          <w:p>
            <w:pPr>
              <w:spacing w:after="20"/>
            </w:pPr>
            <w:r/>
            <w:r>
              <w:rPr>
                <w:rFonts w:ascii="Aptos" w:hAnsi="Aptos"/>
                <w:b w:val="0"/>
                <w:sz w:val="15"/>
              </w:rPr>
              <w:t>RFP describes online applications for matured FD refunds.</w:t>
            </w:r>
          </w:p>
        </w:tc>
        <w:tc>
          <w:tcPr>
            <w:tcW w:type="dxa" w:w="4320"/>
            <w:vAlign w:val="center"/>
          </w:tcPr>
          <w:p>
            <w:pPr>
              <w:spacing w:after="20"/>
            </w:pPr>
            <w:r/>
            <w:r>
              <w:rPr>
                <w:rFonts w:ascii="Aptos" w:hAnsi="Aptos"/>
                <w:b w:val="0"/>
                <w:sz w:val="15"/>
              </w:rPr>
              <w:t>Current live portal UX, available roles and all current functions.</w:t>
            </w:r>
          </w:p>
        </w:tc>
      </w:tr>
      <w:tr>
        <w:tc>
          <w:tcPr>
            <w:tcW w:type="dxa" w:w="1728"/>
            <w:vAlign w:val="center"/>
            <w:shd w:fill="F1F6F8"/>
          </w:tcPr>
          <w:p>
            <w:pPr>
              <w:spacing w:after="20"/>
            </w:pPr>
            <w:r/>
            <w:r>
              <w:rPr>
                <w:rFonts w:ascii="Aptos" w:hAnsi="Aptos"/>
                <w:b w:val="0"/>
                <w:sz w:val="15"/>
              </w:rPr>
              <w:t>Application tracking</w:t>
            </w:r>
          </w:p>
        </w:tc>
        <w:tc>
          <w:tcPr>
            <w:tcW w:type="dxa" w:w="3672"/>
            <w:vAlign w:val="center"/>
            <w:shd w:fill="F1F6F8"/>
          </w:tcPr>
          <w:p>
            <w:pPr>
              <w:spacing w:after="20"/>
            </w:pPr>
            <w:r/>
            <w:r>
              <w:rPr>
                <w:rFonts w:ascii="Aptos" w:hAnsi="Aptos"/>
                <w:b w:val="0"/>
                <w:sz w:val="15"/>
              </w:rPr>
              <w:t>RFP explicitly describes status tracking.</w:t>
            </w:r>
          </w:p>
        </w:tc>
        <w:tc>
          <w:tcPr>
            <w:tcW w:type="dxa" w:w="4320"/>
            <w:vAlign w:val="center"/>
            <w:shd w:fill="F1F6F8"/>
          </w:tcPr>
          <w:p>
            <w:pPr>
              <w:spacing w:after="20"/>
            </w:pPr>
            <w:r/>
            <w:r>
              <w:rPr>
                <w:rFonts w:ascii="Aptos" w:hAnsi="Aptos"/>
                <w:b w:val="0"/>
                <w:sz w:val="15"/>
              </w:rPr>
              <w:t>Exact statuses, alerts, dashboards, reports and audit capabilities in current deployment.</w:t>
            </w:r>
          </w:p>
        </w:tc>
      </w:tr>
      <w:tr>
        <w:tc>
          <w:tcPr>
            <w:tcW w:type="dxa" w:w="1728"/>
            <w:vAlign w:val="center"/>
          </w:tcPr>
          <w:p>
            <w:pPr>
              <w:spacing w:after="20"/>
            </w:pPr>
            <w:r/>
            <w:r>
              <w:rPr>
                <w:rFonts w:ascii="Aptos" w:hAnsi="Aptos"/>
                <w:b w:val="0"/>
                <w:sz w:val="15"/>
              </w:rPr>
              <w:t>Document requirements</w:t>
            </w:r>
          </w:p>
        </w:tc>
        <w:tc>
          <w:tcPr>
            <w:tcW w:type="dxa" w:w="3672"/>
            <w:vAlign w:val="center"/>
          </w:tcPr>
          <w:p>
            <w:pPr>
              <w:spacing w:after="20"/>
            </w:pPr>
            <w:r/>
            <w:r>
              <w:rPr>
                <w:rFonts w:ascii="Aptos" w:hAnsi="Aptos"/>
                <w:b w:val="0"/>
                <w:sz w:val="15"/>
              </w:rPr>
              <w:t>RFP and handbook list supporting documents.</w:t>
            </w:r>
          </w:p>
        </w:tc>
        <w:tc>
          <w:tcPr>
            <w:tcW w:type="dxa" w:w="4320"/>
            <w:vAlign w:val="center"/>
          </w:tcPr>
          <w:p>
            <w:pPr>
              <w:spacing w:after="20"/>
            </w:pPr>
            <w:r/>
            <w:r>
              <w:rPr>
                <w:rFonts w:ascii="Aptos" w:hAnsi="Aptos"/>
                <w:b w:val="0"/>
                <w:sz w:val="15"/>
              </w:rPr>
              <w:t>Whether completeness checks are automated; current category-specific checklists.</w:t>
            </w:r>
          </w:p>
        </w:tc>
      </w:tr>
      <w:tr>
        <w:tc>
          <w:tcPr>
            <w:tcW w:type="dxa" w:w="1728"/>
            <w:vAlign w:val="center"/>
            <w:shd w:fill="F1F6F8"/>
          </w:tcPr>
          <w:p>
            <w:pPr>
              <w:spacing w:after="20"/>
            </w:pPr>
            <w:r/>
            <w:r>
              <w:rPr>
                <w:rFonts w:ascii="Aptos" w:hAnsi="Aptos"/>
                <w:b w:val="0"/>
                <w:sz w:val="15"/>
              </w:rPr>
              <w:t>Multi-stage review</w:t>
            </w:r>
          </w:p>
        </w:tc>
        <w:tc>
          <w:tcPr>
            <w:tcW w:type="dxa" w:w="3672"/>
            <w:vAlign w:val="center"/>
            <w:shd w:fill="F1F6F8"/>
          </w:tcPr>
          <w:p>
            <w:pPr>
              <w:spacing w:after="20"/>
            </w:pPr>
            <w:r/>
            <w:r>
              <w:rPr>
                <w:rFonts w:ascii="Aptos" w:hAnsi="Aptos"/>
                <w:b w:val="0"/>
                <w:sz w:val="15"/>
              </w:rPr>
              <w:t>RFP describes RO, Vigilance and HQ verification; handbook requires relevant clearances.</w:t>
            </w:r>
          </w:p>
        </w:tc>
        <w:tc>
          <w:tcPr>
            <w:tcW w:type="dxa" w:w="4320"/>
            <w:vAlign w:val="center"/>
            <w:shd w:fill="F1F6F8"/>
          </w:tcPr>
          <w:p>
            <w:pPr>
              <w:spacing w:after="20"/>
            </w:pPr>
            <w:r/>
            <w:r>
              <w:rPr>
                <w:rFonts w:ascii="Aptos" w:hAnsi="Aptos"/>
                <w:b w:val="0"/>
                <w:sz w:val="15"/>
              </w:rPr>
              <w:t>Current routing logic, turnaround targets, escalations and exception handling.</w:t>
            </w:r>
          </w:p>
        </w:tc>
      </w:tr>
      <w:tr>
        <w:tc>
          <w:tcPr>
            <w:tcW w:type="dxa" w:w="1728"/>
            <w:vAlign w:val="center"/>
          </w:tcPr>
          <w:p>
            <w:pPr>
              <w:spacing w:after="20"/>
            </w:pPr>
            <w:r/>
            <w:r>
              <w:rPr>
                <w:rFonts w:ascii="Aptos" w:hAnsi="Aptos"/>
                <w:b w:val="0"/>
                <w:sz w:val="15"/>
              </w:rPr>
              <w:t>Bank authenticity</w:t>
            </w:r>
          </w:p>
        </w:tc>
        <w:tc>
          <w:tcPr>
            <w:tcW w:type="dxa" w:w="3672"/>
            <w:vAlign w:val="center"/>
          </w:tcPr>
          <w:p>
            <w:pPr>
              <w:spacing w:after="20"/>
            </w:pPr>
            <w:r/>
            <w:r>
              <w:rPr>
                <w:rFonts w:ascii="Aptos" w:hAnsi="Aptos"/>
                <w:b w:val="0"/>
                <w:sz w:val="15"/>
              </w:rPr>
              <w:t>Older handbook contains bank-manager certificate fields for authenticity/encumbrance.</w:t>
            </w:r>
          </w:p>
        </w:tc>
        <w:tc>
          <w:tcPr>
            <w:tcW w:type="dxa" w:w="4320"/>
            <w:vAlign w:val="center"/>
          </w:tcPr>
          <w:p>
            <w:pPr>
              <w:spacing w:after="20"/>
            </w:pPr>
            <w:r/>
            <w:r>
              <w:rPr>
                <w:rFonts w:ascii="Aptos" w:hAnsi="Aptos"/>
                <w:b w:val="0"/>
                <w:sz w:val="15"/>
              </w:rPr>
              <w:t>Current bank-check method, integration availability and authorisation process.</w:t>
            </w:r>
          </w:p>
        </w:tc>
      </w:tr>
      <w:tr>
        <w:tc>
          <w:tcPr>
            <w:tcW w:type="dxa" w:w="1728"/>
            <w:vAlign w:val="center"/>
            <w:shd w:fill="F1F6F8"/>
          </w:tcPr>
          <w:p>
            <w:pPr>
              <w:spacing w:after="20"/>
            </w:pPr>
            <w:r/>
            <w:r>
              <w:rPr>
                <w:rFonts w:ascii="Aptos" w:hAnsi="Aptos"/>
                <w:b w:val="0"/>
                <w:sz w:val="15"/>
              </w:rPr>
              <w:t>FDR lifecycle register</w:t>
            </w:r>
          </w:p>
        </w:tc>
        <w:tc>
          <w:tcPr>
            <w:tcW w:type="dxa" w:w="3672"/>
            <w:vAlign w:val="center"/>
            <w:shd w:fill="F1F6F8"/>
          </w:tcPr>
          <w:p>
            <w:pPr>
              <w:spacing w:after="20"/>
            </w:pPr>
            <w:r/>
            <w:r>
              <w:rPr>
                <w:rFonts w:ascii="Aptos" w:hAnsi="Aptos"/>
                <w:b w:val="0"/>
                <w:sz w:val="15"/>
              </w:rPr>
              <w:t>Maturity matters to refund eligibility; PS1 calls for instrument-wise management.</w:t>
            </w:r>
          </w:p>
        </w:tc>
        <w:tc>
          <w:tcPr>
            <w:tcW w:type="dxa" w:w="4320"/>
            <w:vAlign w:val="center"/>
            <w:shd w:fill="F1F6F8"/>
          </w:tcPr>
          <w:p>
            <w:pPr>
              <w:spacing w:after="20"/>
            </w:pPr>
            <w:r/>
            <w:r>
              <w:rPr>
                <w:rFonts w:ascii="Aptos" w:hAnsi="Aptos"/>
                <w:b w:val="0"/>
                <w:sz w:val="15"/>
              </w:rPr>
              <w:t>Whether current portal has a complete institution-wise, instrument-wise lifecycle register.</w:t>
            </w:r>
          </w:p>
        </w:tc>
      </w:tr>
      <w:tr>
        <w:tc>
          <w:tcPr>
            <w:tcW w:type="dxa" w:w="1728"/>
            <w:vAlign w:val="center"/>
          </w:tcPr>
          <w:p>
            <w:pPr>
              <w:spacing w:after="20"/>
            </w:pPr>
            <w:r/>
            <w:r>
              <w:rPr>
                <w:rFonts w:ascii="Aptos" w:hAnsi="Aptos"/>
                <w:b w:val="0"/>
                <w:sz w:val="15"/>
              </w:rPr>
              <w:t>Tamper/duplicate detection</w:t>
            </w:r>
          </w:p>
        </w:tc>
        <w:tc>
          <w:tcPr>
            <w:tcW w:type="dxa" w:w="3672"/>
            <w:vAlign w:val="center"/>
          </w:tcPr>
          <w:p>
            <w:pPr>
              <w:spacing w:after="20"/>
            </w:pPr>
            <w:r/>
            <w:r>
              <w:rPr>
                <w:rFonts w:ascii="Aptos" w:hAnsi="Aptos"/>
                <w:b w:val="0"/>
                <w:sz w:val="15"/>
              </w:rPr>
              <w:t>Not established by the reviewed process descriptions.</w:t>
            </w:r>
          </w:p>
        </w:tc>
        <w:tc>
          <w:tcPr>
            <w:tcW w:type="dxa" w:w="4320"/>
            <w:vAlign w:val="center"/>
          </w:tcPr>
          <w:p>
            <w:pPr>
              <w:spacing w:after="20"/>
            </w:pPr>
            <w:r/>
            <w:r>
              <w:rPr>
                <w:rFonts w:ascii="Aptos" w:hAnsi="Aptos"/>
                <w:b w:val="0"/>
                <w:sz w:val="15"/>
              </w:rPr>
              <w:t>Whether deployed controls exist; never claim absence without further evidence.</w:t>
            </w:r>
          </w:p>
        </w:tc>
      </w:tr>
      <w:tr>
        <w:tc>
          <w:tcPr>
            <w:tcW w:type="dxa" w:w="1728"/>
            <w:vAlign w:val="center"/>
            <w:shd w:fill="F1F6F8"/>
          </w:tcPr>
          <w:p>
            <w:pPr>
              <w:spacing w:after="20"/>
            </w:pPr>
            <w:r/>
            <w:r>
              <w:rPr>
                <w:rFonts w:ascii="Aptos" w:hAnsi="Aptos"/>
                <w:b w:val="0"/>
                <w:sz w:val="15"/>
              </w:rPr>
              <w:t>Audit/security</w:t>
            </w:r>
          </w:p>
        </w:tc>
        <w:tc>
          <w:tcPr>
            <w:tcW w:type="dxa" w:w="3672"/>
            <w:vAlign w:val="center"/>
            <w:shd w:fill="F1F6F8"/>
          </w:tcPr>
          <w:p>
            <w:pPr>
              <w:spacing w:after="20"/>
            </w:pPr>
            <w:r/>
            <w:r>
              <w:rPr>
                <w:rFonts w:ascii="Aptos" w:hAnsi="Aptos"/>
                <w:b w:val="0"/>
                <w:sz w:val="15"/>
              </w:rPr>
              <w:t>Process has multiple approval actors and policy gates.</w:t>
            </w:r>
          </w:p>
        </w:tc>
        <w:tc>
          <w:tcPr>
            <w:tcW w:type="dxa" w:w="4320"/>
            <w:vAlign w:val="center"/>
            <w:shd w:fill="F1F6F8"/>
          </w:tcPr>
          <w:p>
            <w:pPr>
              <w:spacing w:after="20"/>
            </w:pPr>
            <w:r/>
            <w:r>
              <w:rPr>
                <w:rFonts w:ascii="Aptos" w:hAnsi="Aptos"/>
                <w:b w:val="0"/>
                <w:sz w:val="15"/>
              </w:rPr>
              <w:t>Current access-control, logging, storage encryption, retention and security design.</w:t>
            </w:r>
          </w:p>
        </w:tc>
      </w:tr>
    </w:tbl>
    <w:p/>
    <w:p>
      <w:r>
        <w:t>Research discipline: 'not found in the sources reviewed' is not the same as 'does not exist'. These unknowns should be investigated through additional official specifications, public portal walkthroughs where legitimately accessible, and clarification from the problem-statement owner if available.</w:t>
      </w:r>
    </w:p>
    <w:p>
      <w:pPr>
        <w:pStyle w:val="Heading1"/>
      </w:pPr>
      <w:r>
        <w:t>3. Problem interpretation and opportunity hypotheses</w:t>
      </w:r>
    </w:p>
    <w:p>
      <w:r>
        <w:t>The policy documents establish that an FDR release decision depends on supporting evidence, eligibility/maturity checks, and multiple clearances. The RFP also documents a deficiency-and-resubmission path. The following are therefore plausible areas to investigate—not proven current-system failures: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2304A"/>
          </w:tcPr>
          <w:p>
            <w:pPr>
              <w:spacing w:after="20"/>
            </w:pPr>
            <w:r/>
            <w:r>
              <w:rPr>
                <w:rFonts w:ascii="Aptos" w:hAnsi="Aptos"/>
                <w:b/>
                <w:color w:val="FFFFFF"/>
                <w:sz w:val="15"/>
              </w:rPr>
              <w:t>Opportunity hypothesis</w:t>
            </w:r>
          </w:p>
        </w:tc>
        <w:tc>
          <w:tcPr>
            <w:tcW w:type="dxa" w:w="3672"/>
            <w:vAlign w:val="center"/>
            <w:shd w:fill="12304A"/>
          </w:tcPr>
          <w:p>
            <w:pPr>
              <w:spacing w:after="20"/>
            </w:pPr>
            <w:r/>
            <w:r>
              <w:rPr>
                <w:rFonts w:ascii="Aptos" w:hAnsi="Aptos"/>
                <w:b/>
                <w:color w:val="FFFFFF"/>
                <w:sz w:val="15"/>
              </w:rPr>
              <w:t>Why it may matter</w:t>
            </w:r>
          </w:p>
        </w:tc>
        <w:tc>
          <w:tcPr>
            <w:tcW w:type="dxa" w:w="3816"/>
            <w:vAlign w:val="center"/>
            <w:shd w:fill="12304A"/>
          </w:tcPr>
          <w:p>
            <w:pPr>
              <w:spacing w:after="20"/>
            </w:pPr>
            <w:r/>
            <w:r>
              <w:rPr>
                <w:rFonts w:ascii="Aptos" w:hAnsi="Aptos"/>
                <w:b/>
                <w:color w:val="FFFFFF"/>
                <w:sz w:val="15"/>
              </w:rPr>
              <w:t>Evidence needed before claiming a gap</w:t>
            </w:r>
          </w:p>
        </w:tc>
      </w:tr>
      <w:tr>
        <w:tc>
          <w:tcPr>
            <w:tcW w:type="dxa" w:w="2232"/>
            <w:vAlign w:val="center"/>
          </w:tcPr>
          <w:p>
            <w:pPr>
              <w:spacing w:after="20"/>
            </w:pPr>
            <w:r/>
            <w:r>
              <w:rPr>
                <w:rFonts w:ascii="Aptos" w:hAnsi="Aptos"/>
                <w:b w:val="0"/>
                <w:sz w:val="15"/>
              </w:rPr>
              <w:t>Instrument-centric record</w:t>
            </w:r>
          </w:p>
        </w:tc>
        <w:tc>
          <w:tcPr>
            <w:tcW w:type="dxa" w:w="3672"/>
            <w:vAlign w:val="center"/>
          </w:tcPr>
          <w:p>
            <w:pPr>
              <w:spacing w:after="20"/>
            </w:pPr>
            <w:r/>
            <w:r>
              <w:rPr>
                <w:rFonts w:ascii="Aptos" w:hAnsi="Aptos"/>
                <w:b w:val="0"/>
                <w:sz w:val="15"/>
              </w:rPr>
              <w:t>A stable record per FDR can connect metadata, documents, maturity, review and release history.</w:t>
            </w:r>
          </w:p>
        </w:tc>
        <w:tc>
          <w:tcPr>
            <w:tcW w:type="dxa" w:w="3816"/>
            <w:vAlign w:val="center"/>
          </w:tcPr>
          <w:p>
            <w:pPr>
              <w:spacing w:after="20"/>
            </w:pPr>
            <w:r/>
            <w:r>
              <w:rPr>
                <w:rFonts w:ascii="Aptos" w:hAnsi="Aptos"/>
                <w:b w:val="0"/>
                <w:sz w:val="15"/>
              </w:rPr>
              <w:t>Confirm current portal data model and whether an equivalent register exists.</w:t>
            </w:r>
          </w:p>
        </w:tc>
      </w:tr>
      <w:tr>
        <w:tc>
          <w:tcPr>
            <w:tcW w:type="dxa" w:w="2232"/>
            <w:vAlign w:val="center"/>
            <w:shd w:fill="F1F6F8"/>
          </w:tcPr>
          <w:p>
            <w:pPr>
              <w:spacing w:after="20"/>
            </w:pPr>
            <w:r/>
            <w:r>
              <w:rPr>
                <w:rFonts w:ascii="Aptos" w:hAnsi="Aptos"/>
                <w:b w:val="0"/>
                <w:sz w:val="15"/>
              </w:rPr>
              <w:t>Evidence-linked field checks</w:t>
            </w:r>
          </w:p>
        </w:tc>
        <w:tc>
          <w:tcPr>
            <w:tcW w:type="dxa" w:w="3672"/>
            <w:vAlign w:val="center"/>
            <w:shd w:fill="F1F6F8"/>
          </w:tcPr>
          <w:p>
            <w:pPr>
              <w:spacing w:after="20"/>
            </w:pPr>
            <w:r/>
            <w:r>
              <w:rPr>
                <w:rFonts w:ascii="Aptos" w:hAnsi="Aptos"/>
                <w:b w:val="0"/>
                <w:sz w:val="15"/>
              </w:rPr>
              <w:t>Compare entered fields with OCR-extracted fields and source pages to help reviewers locate discrepancies.</w:t>
            </w:r>
          </w:p>
        </w:tc>
        <w:tc>
          <w:tcPr>
            <w:tcW w:type="dxa" w:w="3816"/>
            <w:vAlign w:val="center"/>
            <w:shd w:fill="F1F6F8"/>
          </w:tcPr>
          <w:p>
            <w:pPr>
              <w:spacing w:after="20"/>
            </w:pPr>
            <w:r/>
            <w:r>
              <w:rPr>
                <w:rFonts w:ascii="Aptos" w:hAnsi="Aptos"/>
                <w:b w:val="0"/>
                <w:sz w:val="15"/>
              </w:rPr>
              <w:t>Test OCR accuracy on representative FDR-like documents; check existing controls.</w:t>
            </w:r>
          </w:p>
        </w:tc>
      </w:tr>
      <w:tr>
        <w:tc>
          <w:tcPr>
            <w:tcW w:type="dxa" w:w="2232"/>
            <w:vAlign w:val="center"/>
          </w:tcPr>
          <w:p>
            <w:pPr>
              <w:spacing w:after="20"/>
            </w:pPr>
            <w:r/>
            <w:r>
              <w:rPr>
                <w:rFonts w:ascii="Aptos" w:hAnsi="Aptos"/>
                <w:b w:val="0"/>
                <w:sz w:val="15"/>
              </w:rPr>
              <w:t>Document integrity/version history</w:t>
            </w:r>
          </w:p>
        </w:tc>
        <w:tc>
          <w:tcPr>
            <w:tcW w:type="dxa" w:w="3672"/>
            <w:vAlign w:val="center"/>
          </w:tcPr>
          <w:p>
            <w:pPr>
              <w:spacing w:after="20"/>
            </w:pPr>
            <w:r/>
            <w:r>
              <w:rPr>
                <w:rFonts w:ascii="Aptos" w:hAnsi="Aptos"/>
                <w:b w:val="0"/>
                <w:sz w:val="15"/>
              </w:rPr>
              <w:t>A hash and version record can detect subsequent file changes and duplicate exact files.</w:t>
            </w:r>
          </w:p>
        </w:tc>
        <w:tc>
          <w:tcPr>
            <w:tcW w:type="dxa" w:w="3816"/>
            <w:vAlign w:val="center"/>
          </w:tcPr>
          <w:p>
            <w:pPr>
              <w:spacing w:after="20"/>
            </w:pPr>
            <w:r/>
            <w:r>
              <w:rPr>
                <w:rFonts w:ascii="Aptos" w:hAnsi="Aptos"/>
                <w:b w:val="0"/>
                <w:sz w:val="15"/>
              </w:rPr>
              <w:t>Inspect current upload/version controls; explain hash limitations.</w:t>
            </w:r>
          </w:p>
        </w:tc>
      </w:tr>
      <w:tr>
        <w:tc>
          <w:tcPr>
            <w:tcW w:type="dxa" w:w="2232"/>
            <w:vAlign w:val="center"/>
            <w:shd w:fill="F1F6F8"/>
          </w:tcPr>
          <w:p>
            <w:pPr>
              <w:spacing w:after="20"/>
            </w:pPr>
            <w:r/>
            <w:r>
              <w:rPr>
                <w:rFonts w:ascii="Aptos" w:hAnsi="Aptos"/>
                <w:b w:val="0"/>
                <w:sz w:val="15"/>
              </w:rPr>
              <w:t>Structured deficiency handling</w:t>
            </w:r>
          </w:p>
        </w:tc>
        <w:tc>
          <w:tcPr>
            <w:tcW w:type="dxa" w:w="3672"/>
            <w:vAlign w:val="center"/>
            <w:shd w:fill="F1F6F8"/>
          </w:tcPr>
          <w:p>
            <w:pPr>
              <w:spacing w:after="20"/>
            </w:pPr>
            <w:r/>
            <w:r>
              <w:rPr>
                <w:rFonts w:ascii="Aptos" w:hAnsi="Aptos"/>
                <w:b w:val="0"/>
                <w:sz w:val="15"/>
              </w:rPr>
              <w:t>Machine-readable deficiency categories may improve consistency and resubmission visibility.</w:t>
            </w:r>
          </w:p>
        </w:tc>
        <w:tc>
          <w:tcPr>
            <w:tcW w:type="dxa" w:w="3816"/>
            <w:vAlign w:val="center"/>
            <w:shd w:fill="F1F6F8"/>
          </w:tcPr>
          <w:p>
            <w:pPr>
              <w:spacing w:after="20"/>
            </w:pPr>
            <w:r/>
            <w:r>
              <w:rPr>
                <w:rFonts w:ascii="Aptos" w:hAnsi="Aptos"/>
                <w:b w:val="0"/>
                <w:sz w:val="15"/>
              </w:rPr>
              <w:t>Confirm current deficiency categories, analytics and notification features.</w:t>
            </w:r>
          </w:p>
        </w:tc>
      </w:tr>
      <w:tr>
        <w:tc>
          <w:tcPr>
            <w:tcW w:type="dxa" w:w="2232"/>
            <w:vAlign w:val="center"/>
          </w:tcPr>
          <w:p>
            <w:pPr>
              <w:spacing w:after="20"/>
            </w:pPr>
            <w:r/>
            <w:r>
              <w:rPr>
                <w:rFonts w:ascii="Aptos" w:hAnsi="Aptos"/>
                <w:b w:val="0"/>
                <w:sz w:val="15"/>
              </w:rPr>
              <w:t>Maturity and lifecycle alerts</w:t>
            </w:r>
          </w:p>
        </w:tc>
        <w:tc>
          <w:tcPr>
            <w:tcW w:type="dxa" w:w="3672"/>
            <w:vAlign w:val="center"/>
          </w:tcPr>
          <w:p>
            <w:pPr>
              <w:spacing w:after="20"/>
            </w:pPr>
            <w:r/>
            <w:r>
              <w:rPr>
                <w:rFonts w:ascii="Aptos" w:hAnsi="Aptos"/>
                <w:b w:val="0"/>
                <w:sz w:val="15"/>
              </w:rPr>
              <w:t>Proactive reminders may support timely review of approaching maturity/renewal/release events.</w:t>
            </w:r>
          </w:p>
        </w:tc>
        <w:tc>
          <w:tcPr>
            <w:tcW w:type="dxa" w:w="3816"/>
            <w:vAlign w:val="center"/>
          </w:tcPr>
          <w:p>
            <w:pPr>
              <w:spacing w:after="20"/>
            </w:pPr>
            <w:r/>
            <w:r>
              <w:rPr>
                <w:rFonts w:ascii="Aptos" w:hAnsi="Aptos"/>
                <w:b w:val="0"/>
                <w:sz w:val="15"/>
              </w:rPr>
              <w:t>Confirm existing alerting and validate applicable policy on renewals.</w:t>
            </w:r>
          </w:p>
        </w:tc>
      </w:tr>
      <w:tr>
        <w:tc>
          <w:tcPr>
            <w:tcW w:type="dxa" w:w="2232"/>
            <w:vAlign w:val="center"/>
            <w:shd w:fill="F1F6F8"/>
          </w:tcPr>
          <w:p>
            <w:pPr>
              <w:spacing w:after="20"/>
            </w:pPr>
            <w:r/>
            <w:r>
              <w:rPr>
                <w:rFonts w:ascii="Aptos" w:hAnsi="Aptos"/>
                <w:b w:val="0"/>
                <w:sz w:val="15"/>
              </w:rPr>
              <w:t>Verification dossier</w:t>
            </w:r>
          </w:p>
        </w:tc>
        <w:tc>
          <w:tcPr>
            <w:tcW w:type="dxa" w:w="3672"/>
            <w:vAlign w:val="center"/>
            <w:shd w:fill="F1F6F8"/>
          </w:tcPr>
          <w:p>
            <w:pPr>
              <w:spacing w:after="20"/>
            </w:pPr>
            <w:r/>
            <w:r>
              <w:rPr>
                <w:rFonts w:ascii="Aptos" w:hAnsi="Aptos"/>
                <w:b w:val="0"/>
                <w:sz w:val="15"/>
              </w:rPr>
              <w:t>A traceable dossier can collate checks, sources, timestamps and human decisions.</w:t>
            </w:r>
          </w:p>
        </w:tc>
        <w:tc>
          <w:tcPr>
            <w:tcW w:type="dxa" w:w="3816"/>
            <w:vAlign w:val="center"/>
            <w:shd w:fill="F1F6F8"/>
          </w:tcPr>
          <w:p>
            <w:pPr>
              <w:spacing w:after="20"/>
            </w:pPr>
            <w:r/>
            <w:r>
              <w:rPr>
                <w:rFonts w:ascii="Aptos" w:hAnsi="Aptos"/>
                <w:b w:val="0"/>
                <w:sz w:val="15"/>
              </w:rPr>
              <w:t>Confirm whether existing reports already provide similar evidence.</w:t>
            </w:r>
          </w:p>
        </w:tc>
      </w:tr>
    </w:tbl>
    <w:p/>
    <w:p>
      <w:pPr>
        <w:pStyle w:val="Heading2"/>
      </w:pPr>
      <w:r>
        <w:t>Recommended problem framing (provisional)</w:t>
      </w:r>
    </w:p>
    <w:p>
      <w:r>
        <w:t>Design an evidence-driven FDR lifecycle assurance layer that complements the documented AICTE approval workflow by organising instrument-level records, automating safe document-consistency checks, surfacing unresolved evidence, and preserving a traceable human review history—subject to confirmation of the current portal's capabilities and applicable policy.</w:t>
      </w:r>
    </w:p>
    <w:p>
      <w:r>
        <w:t>Avoid saying that the current AICTE system is manual, insecure, lacks tracking, or lacks verification unless further primary-source evidence confirms that claim.</w:t>
      </w:r>
    </w:p>
    <w:p>
      <w:pPr>
        <w:pStyle w:val="Heading1"/>
      </w:pPr>
      <w:r>
        <w:t>4. Technical literature and standards survey</w:t>
      </w:r>
    </w:p>
    <w:p>
      <w:pPr>
        <w:pStyle w:val="Heading2"/>
      </w:pPr>
      <w:r>
        <w:t>4.1 Document tampering detection: DocTamper / DTD</w:t>
      </w:r>
    </w:p>
    <w:p>
      <w:r>
        <w:t>Qu et al. (CVPR 2023) propose a Document Tampering Detector (DTD) for detecting tampered text in document images. The paper describes a Frequency Perception Head (FPH), a Multi-view Iterative Decoder (MID), and curriculum learning for tampering detection. The authors introduce DocTamper, a dataset of 170,000 document images, and report results on the dataset and cross-domain test sets.</w:t>
      </w:r>
    </w:p>
    <w:p>
      <w:r>
        <w:t>Relevance: this is a research-backed candidate for a future image-forensics module. It is not FDR-specific, and performance on its benchmark cannot be assumed to transfer to scanned Indian FDRs. The official repository states that the dataset is available for non-commercial use subject to application/access requirements; the original source material may have third-party copyright. Review terms carefully before using it.</w:t>
      </w:r>
    </w:p>
    <w:p>
      <w:pPr>
        <w:spacing w:after="60"/>
      </w:pPr>
      <w:r>
        <w:rPr>
          <w:b/>
        </w:rPr>
        <w:t xml:space="preserve">CVPR 2023 paper (official open-access proceedings) — </w:t>
      </w:r>
      <w:hyperlink r:id="rId14">
        <w:r>
          <w:rPr>
            <w:color w:val="0563C1"/>
            <w:u w:val="single"/>
          </w:rPr>
          <w:t>https://openaccess.thecvf.com/content/CVPR2023/html/Qu_Towards_Robust_Tampered_Text_Detection_in_Document_Image_New_Dataset_CVPR_2023_paper.html</w:t>
        </w:r>
      </w:hyperlink>
    </w:p>
    <w:p>
      <w:pPr>
        <w:spacing w:after="60"/>
      </w:pPr>
      <w:r>
        <w:rPr>
          <w:b/>
        </w:rPr>
        <w:t xml:space="preserve">Official DocTamper repository and access/licence notes — </w:t>
      </w:r>
      <w:hyperlink r:id="rId15">
        <w:r>
          <w:rPr>
            <w:color w:val="0563C1"/>
            <w:u w:val="single"/>
          </w:rPr>
          <w:t>https://github.com/qcf-568/DocTamper</w:t>
        </w:r>
      </w:hyperlink>
    </w:p>
    <w:p>
      <w:r>
        <w:t>Recommendation: do not promise model training until dataset access, licence, compute, label format and inference code have been checked. If used, evaluate with a held-out split and a domain-shift test; label outputs as potential tampering indicators, not fraud findings.</w:t>
      </w:r>
    </w:p>
    <w:p>
      <w:pPr>
        <w:pStyle w:val="Heading2"/>
      </w:pPr>
      <w:r>
        <w:t>4.2 Financial OCR evaluation: FinCriticalED</w:t>
      </w:r>
    </w:p>
    <w:p>
      <w:r>
        <w:t>FinCriticalED is a benchmark for fact-level OCR/vision-language evaluation on financial documents. Its project repository describes 859 real-world financial document pages paired with ground-truth HTML and 9,481 expert-annotated facts across numbers, monetary units, temporal data, reporting entities and financial concepts. It focuses on decision-critical factual correctness rather than only text similarity.</w:t>
      </w:r>
    </w:p>
    <w:p>
      <w:r>
        <w:t>Relevance: FDR checks are especially sensitive to amount, instrument number and date errors. This benchmark supports the methodological point that overall character similarity alone is insufficient. It does not provide FDR-specific examples, and access/licensing should be checked from the repository's data and licence files before use.</w:t>
      </w:r>
    </w:p>
    <w:p>
      <w:pPr>
        <w:spacing w:after="60"/>
      </w:pPr>
      <w:r>
        <w:rPr>
          <w:b/>
        </w:rPr>
        <w:t xml:space="preserve">FinCriticalED paper (arXiv) — </w:t>
      </w:r>
      <w:hyperlink r:id="rId16">
        <w:r>
          <w:rPr>
            <w:color w:val="0563C1"/>
            <w:u w:val="single"/>
          </w:rPr>
          <w:t>https://arxiv.org/abs/2511.14998</w:t>
        </w:r>
      </w:hyperlink>
    </w:p>
    <w:p>
      <w:pPr>
        <w:spacing w:after="60"/>
      </w:pPr>
      <w:r>
        <w:rPr>
          <w:b/>
        </w:rPr>
        <w:t xml:space="preserve">FinCriticalED project repository / dataset details — </w:t>
      </w:r>
      <w:hyperlink r:id="rId17">
        <w:r>
          <w:rPr>
            <w:color w:val="0563C1"/>
            <w:u w:val="single"/>
          </w:rPr>
          <w:t>https://github.com/The-FinAI/FinCriticalED</w:t>
        </w:r>
      </w:hyperlink>
    </w:p>
    <w:p>
      <w:r>
        <w:t>Recommendation: design field-level metrics: exact match for instrument identifiers and monetary values after normalisation, date accuracy, field-level precision/recall for extraction, and a reviewer-visible low-confidence state. Do not infer that this dataset alone validates FDR performance.</w:t>
      </w:r>
    </w:p>
    <w:p>
      <w:pPr>
        <w:pStyle w:val="Heading2"/>
      </w:pPr>
      <w:r>
        <w:t>4.3 IEEE Xplore literature: financial document forgery</w:t>
      </w:r>
    </w:p>
    <w:p>
      <w:r>
        <w:t>A 2026 IEEE conference publication titled 'A Multi-Modal Approach to Automated Financial Document Forgery Detection Using CNN and Semantic Validation' describes a proposed framework combining visual forensics, multiple OCR engines, arithmetic/semantic validation and contextual registry checks. Its abstract reports evaluation on 3,786 financial invoices. These are author-reported results for that paper's benchmark, not results for our project and not evidence of FDR performance.</w:t>
      </w:r>
    </w:p>
    <w:p>
      <w:pPr>
        <w:spacing w:after="60"/>
      </w:pPr>
      <w:r>
        <w:rPr>
          <w:b/>
        </w:rPr>
        <w:t xml:space="preserve">IEEE Xplore record / DOI 10.1109/ICDCA69396.2026.11620092 — </w:t>
      </w:r>
      <w:hyperlink r:id="rId18">
        <w:r>
          <w:rPr>
            <w:color w:val="0563C1"/>
            <w:u w:val="single"/>
          </w:rPr>
          <w:t>https://xplorestaging.ieee.org/document/11620092</w:t>
        </w:r>
      </w:hyperlink>
    </w:p>
    <w:p>
      <w:r>
        <w:t>Use this paper to compare design patterns (visual + textual + semantic signals) and inspect its full methods, dataset construction, baselines and limitations if accessible. Do not copy its accuracy/AUC/time figures into our PPT as our own results.</w:t>
      </w:r>
    </w:p>
    <w:p>
      <w:pPr>
        <w:pStyle w:val="Heading2"/>
      </w:pPr>
      <w:r>
        <w:t>4.4 Digital signatures and PDF validation</w:t>
      </w:r>
    </w:p>
    <w:p>
      <w:r>
        <w:t>pyHanko's documentation explains PDF signature validation and the importance of cryptographic integrity, certificate trust and validation context. A digital signature can establish whether signed content remains intact and whether the signer certificate is trusted under the configured validation context. A PDF without a supported digital signature cannot be marked as cryptographically signature-verified. Even a valid signature does not prove that an FDR is present in a bank's records or that all regulatory conditions are satisfied.</w:t>
      </w:r>
    </w:p>
    <w:p>
      <w:pPr>
        <w:spacing w:after="60"/>
      </w:pPr>
      <w:r>
        <w:rPr>
          <w:b/>
        </w:rPr>
        <w:t xml:space="preserve">pyHanko PDF signature validation documentation — </w:t>
      </w:r>
      <w:hyperlink r:id="rId19">
        <w:r>
          <w:rPr>
            <w:color w:val="0563C1"/>
            <w:u w:val="single"/>
          </w:rPr>
          <w:t>https://docs.pyhanko.eu/en/latest/cli-guide/validation.html</w:t>
        </w:r>
      </w:hyperlink>
    </w:p>
    <w:p>
      <w:r>
        <w:t>Suggested result states: 'valid under configured trust policy', 'cryptographic validation failed', 'signature not detected', 'trust/certificate status indeterminate', and 'validation not completed'. Avoid a single binary 'authentic/fake' label.</w:t>
      </w:r>
    </w:p>
    <w:p>
      <w:pPr>
        <w:pStyle w:val="Heading2"/>
      </w:pPr>
      <w:r>
        <w:t>4.5 Cryptographic file integrity: NIST SHA-256 / FIPS 180-4</w:t>
      </w:r>
    </w:p>
    <w:p>
      <w:r>
        <w:t>NIST FIPS 180-4 specifies secure hash algorithms that produce message digests useful for detecting whether content has changed. For our prototype, SHA-256 can create a fingerprint of each uploaded file. Recomputing the digest later can reveal a changed file, and equal digests can help identify exact duplicate files.</w:t>
      </w:r>
    </w:p>
    <w:p>
      <w:pPr>
        <w:spacing w:after="60"/>
      </w:pPr>
      <w:r>
        <w:rPr>
          <w:b/>
        </w:rPr>
        <w:t xml:space="preserve">NIST FIPS 180-4 Secure Hash Standard — </w:t>
      </w:r>
      <w:hyperlink r:id="rId20">
        <w:r>
          <w:rPr>
            <w:color w:val="0563C1"/>
            <w:u w:val="single"/>
          </w:rPr>
          <w:t>https://csrc.nist.gov/pubs/fips/180-4/upd1/final</w:t>
        </w:r>
      </w:hyperlink>
    </w:p>
    <w:p>
      <w:pPr>
        <w:spacing w:after="60"/>
      </w:pPr>
      <w:r>
        <w:rPr>
          <w:b/>
        </w:rPr>
        <w:t xml:space="preserve">NIST SHA-256 glossary — </w:t>
      </w:r>
      <w:hyperlink r:id="rId21">
        <w:r>
          <w:rPr>
            <w:color w:val="0563C1"/>
            <w:u w:val="single"/>
          </w:rPr>
          <w:t>https://csrc.nist.gov/glossary/term/SHA_256</w:t>
        </w:r>
      </w:hyperlink>
    </w:p>
    <w:p>
      <w:r>
        <w:t>Limitation: hashing does not establish who created a document, whether the original document was genuine, or whether the contents were correct before upload. Store the hash with version, actor, timestamp and protected audit metadata.</w:t>
      </w:r>
    </w:p>
    <w:p>
      <w:pPr>
        <w:pStyle w:val="Heading2"/>
      </w:pPr>
      <w:r>
        <w:t>4.6 Secure uploads and security event logging: OWASP</w:t>
      </w:r>
    </w:p>
    <w:p>
      <w:r>
        <w:t>OWASP's File Upload Cheat Sheet recommends controls such as allowlisted extensions, validating the actual file type rather than trusting the Content-Type header, application-generated filenames, size limits, authorisation and storage outside the web root. The Logging Cheat Sheet recommends application security-event logging and careful control of log access.</w:t>
      </w:r>
    </w:p>
    <w:p>
      <w:pPr>
        <w:spacing w:after="60"/>
      </w:pPr>
      <w:r>
        <w:rPr>
          <w:b/>
        </w:rPr>
        <w:t xml:space="preserve">OWASP File Upload Cheat Sheet — </w:t>
      </w:r>
      <w:hyperlink r:id="rId22">
        <w:r>
          <w:rPr>
            <w:color w:val="0563C1"/>
            <w:u w:val="single"/>
          </w:rPr>
          <w:t>https://cheatsheetseries.owasp.org/cheatsheets/File_Upload_Cheat_Sheet.html</w:t>
        </w:r>
      </w:hyperlink>
    </w:p>
    <w:p>
      <w:pPr>
        <w:spacing w:after="60"/>
      </w:pPr>
      <w:r>
        <w:rPr>
          <w:b/>
        </w:rPr>
        <w:t xml:space="preserve">OWASP Logging Cheat Sheet — </w:t>
      </w:r>
      <w:hyperlink r:id="rId23">
        <w:r>
          <w:rPr>
            <w:color w:val="0563C1"/>
            <w:u w:val="single"/>
          </w:rPr>
          <w:t>https://cheatsheetseries.owasp.org/cheatsheets/Logging_Cheat_Sheet.html</w:t>
        </w:r>
      </w:hyperlink>
    </w:p>
    <w:p>
      <w:r>
        <w:t>Relevance: the FDR portal handles sensitive institutional and financial documents. Upload controls, tenant isolation, role-based access and auditable review actions should be core requirements, not add-on features.</w:t>
      </w:r>
    </w:p>
    <w:p>
      <w:pPr>
        <w:pStyle w:val="Heading2"/>
      </w:pPr>
      <w:r>
        <w:t>4.7 Data protection context</w:t>
      </w:r>
    </w:p>
    <w:p>
      <w:r>
        <w:t>The Digital Personal Data Protection Act, 2023 is an official Indian legal source concerning processing of digital personal data. The Act's applicability and commencement provisions must be read with subsequent notifications and applicable rules in force at deployment time. The prototype should minimise personal data and avoid using real institution/person records without appropriate permission.</w:t>
      </w:r>
    </w:p>
    <w:p>
      <w:pPr>
        <w:spacing w:after="60"/>
      </w:pPr>
      <w:r>
        <w:rPr>
          <w:b/>
        </w:rPr>
        <w:t xml:space="preserve">Digital Personal Data Protection Act, 2023 — MeitY official PDF — </w:t>
      </w:r>
      <w:hyperlink r:id="rId24">
        <w:r>
          <w:rPr>
            <w:color w:val="0563C1"/>
            <w:u w:val="single"/>
          </w:rPr>
          <w:t>https://www.meity.gov.in/writereaddata/files/Digital%20Personal%20Data%20Protection%20Act%202023.pdf</w:t>
        </w:r>
      </w:hyperlink>
    </w:p>
    <w:p>
      <w:pPr>
        <w:spacing w:after="60"/>
      </w:pPr>
      <w:r>
        <w:rPr>
          <w:b/>
        </w:rPr>
        <w:t xml:space="preserve">MeitY notification on commencement (13 November 2025) — </w:t>
      </w:r>
      <w:hyperlink r:id="rId25">
        <w:r>
          <w:rPr>
            <w:color w:val="0563C1"/>
            <w:u w:val="single"/>
          </w:rPr>
          <w:t>https://www.meity.gov.in/static/uploads/2025/11/c56ceae6c383460ca69577428d36828b.pdf</w:t>
        </w:r>
      </w:hyperlink>
    </w:p>
    <w:p>
      <w:r>
        <w:t>This is a research reference, not legal advice. A production deployment needs current legal and security review.</w:t>
      </w:r>
    </w:p>
    <w:p>
      <w:pPr>
        <w:pStyle w:val="Heading1"/>
      </w:pPr>
      <w:r>
        <w:t>5. Dataset survey and data strategy</w:t>
      </w:r>
    </w:p>
    <w:p>
      <w:r>
        <w:t>No public AICTE FDR dataset was identified in the reviewed sources. That does not prove none exists; it means we should not claim access to an official FDR dataset without direct evidence. The dataset strategy should separate public component benchmarks from synthetic workflow data.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vAlign w:val="center"/>
            <w:shd w:fill="12304A"/>
          </w:tcPr>
          <w:p>
            <w:pPr>
              <w:spacing w:after="20"/>
            </w:pPr>
            <w:r/>
            <w:r>
              <w:rPr>
                <w:rFonts w:ascii="Aptos" w:hAnsi="Aptos"/>
                <w:b/>
                <w:color w:val="FFFFFF"/>
                <w:sz w:val="15"/>
              </w:rPr>
              <w:t>Dataset/source</w:t>
            </w:r>
          </w:p>
        </w:tc>
        <w:tc>
          <w:tcPr>
            <w:tcW w:type="dxa" w:w="2952"/>
            <w:vAlign w:val="center"/>
            <w:shd w:fill="12304A"/>
          </w:tcPr>
          <w:p>
            <w:pPr>
              <w:spacing w:after="20"/>
            </w:pPr>
            <w:r/>
            <w:r>
              <w:rPr>
                <w:rFonts w:ascii="Aptos" w:hAnsi="Aptos"/>
                <w:b/>
                <w:color w:val="FFFFFF"/>
                <w:sz w:val="15"/>
              </w:rPr>
              <w:t>What it contains</w:t>
            </w:r>
          </w:p>
        </w:tc>
        <w:tc>
          <w:tcPr>
            <w:tcW w:type="dxa" w:w="2448"/>
            <w:vAlign w:val="center"/>
            <w:shd w:fill="12304A"/>
          </w:tcPr>
          <w:p>
            <w:pPr>
              <w:spacing w:after="20"/>
            </w:pPr>
            <w:r/>
            <w:r>
              <w:rPr>
                <w:rFonts w:ascii="Aptos" w:hAnsi="Aptos"/>
                <w:b/>
                <w:color w:val="FFFFFF"/>
                <w:sz w:val="15"/>
              </w:rPr>
              <w:t>Potential use</w:t>
            </w:r>
          </w:p>
        </w:tc>
        <w:tc>
          <w:tcPr>
            <w:tcW w:type="dxa" w:w="2736"/>
            <w:vAlign w:val="center"/>
            <w:shd w:fill="12304A"/>
          </w:tcPr>
          <w:p>
            <w:pPr>
              <w:spacing w:after="20"/>
            </w:pPr>
            <w:r/>
            <w:r>
              <w:rPr>
                <w:rFonts w:ascii="Aptos" w:hAnsi="Aptos"/>
                <w:b/>
                <w:color w:val="FFFFFF"/>
                <w:sz w:val="15"/>
              </w:rPr>
              <w:t>Limitations / checks</w:t>
            </w:r>
          </w:p>
        </w:tc>
      </w:tr>
      <w:tr>
        <w:tc>
          <w:tcPr>
            <w:tcW w:type="dxa" w:w="1944"/>
            <w:vAlign w:val="center"/>
          </w:tcPr>
          <w:p>
            <w:pPr>
              <w:spacing w:after="20"/>
            </w:pPr>
            <w:r/>
            <w:r>
              <w:rPr>
                <w:rFonts w:ascii="Aptos" w:hAnsi="Aptos"/>
                <w:b w:val="0"/>
                <w:sz w:val="15"/>
              </w:rPr>
              <w:t>DocTamper (CVPR 2023)</w:t>
            </w:r>
          </w:p>
        </w:tc>
        <w:tc>
          <w:tcPr>
            <w:tcW w:type="dxa" w:w="2952"/>
            <w:vAlign w:val="center"/>
          </w:tcPr>
          <w:p>
            <w:pPr>
              <w:spacing w:after="20"/>
            </w:pPr>
            <w:r/>
            <w:r>
              <w:rPr>
                <w:rFonts w:ascii="Aptos" w:hAnsi="Aptos"/>
                <w:b w:val="0"/>
                <w:sz w:val="15"/>
              </w:rPr>
              <w:t>170,000 document images of various types; tampered-text detection benchmark.</w:t>
            </w:r>
          </w:p>
        </w:tc>
        <w:tc>
          <w:tcPr>
            <w:tcW w:type="dxa" w:w="2448"/>
            <w:vAlign w:val="center"/>
          </w:tcPr>
          <w:p>
            <w:pPr>
              <w:spacing w:after="20"/>
            </w:pPr>
            <w:r/>
            <w:r>
              <w:rPr>
                <w:rFonts w:ascii="Aptos" w:hAnsi="Aptos"/>
                <w:b w:val="0"/>
                <w:sz w:val="15"/>
              </w:rPr>
              <w:t>Investigate document image tampering methods; reproduce benchmark-level evaluation if access permits.</w:t>
            </w:r>
          </w:p>
        </w:tc>
        <w:tc>
          <w:tcPr>
            <w:tcW w:type="dxa" w:w="2736"/>
            <w:vAlign w:val="center"/>
          </w:tcPr>
          <w:p>
            <w:pPr>
              <w:spacing w:after="20"/>
            </w:pPr>
            <w:r/>
            <w:r>
              <w:rPr>
                <w:rFonts w:ascii="Aptos" w:hAnsi="Aptos"/>
                <w:b w:val="0"/>
                <w:sz w:val="15"/>
              </w:rPr>
              <w:t>Not FDR-specific; official repository says non-commercial use/access process; inspect terms and source-image rights.</w:t>
            </w:r>
          </w:p>
        </w:tc>
      </w:tr>
      <w:tr>
        <w:tc>
          <w:tcPr>
            <w:tcW w:type="dxa" w:w="1944"/>
            <w:vAlign w:val="center"/>
            <w:shd w:fill="F1F6F8"/>
          </w:tcPr>
          <w:p>
            <w:pPr>
              <w:spacing w:after="20"/>
            </w:pPr>
            <w:r/>
            <w:r>
              <w:rPr>
                <w:rFonts w:ascii="Aptos" w:hAnsi="Aptos"/>
                <w:b w:val="0"/>
                <w:sz w:val="15"/>
              </w:rPr>
              <w:t>FinCriticalED</w:t>
            </w:r>
          </w:p>
        </w:tc>
        <w:tc>
          <w:tcPr>
            <w:tcW w:type="dxa" w:w="2952"/>
            <w:vAlign w:val="center"/>
            <w:shd w:fill="F1F6F8"/>
          </w:tcPr>
          <w:p>
            <w:pPr>
              <w:spacing w:after="20"/>
            </w:pPr>
            <w:r/>
            <w:r>
              <w:rPr>
                <w:rFonts w:ascii="Aptos" w:hAnsi="Aptos"/>
                <w:b w:val="0"/>
                <w:sz w:val="15"/>
              </w:rPr>
              <w:t>859 financial document pages; 9,481 annotated facts across critical financial fields (project repository description).</w:t>
            </w:r>
          </w:p>
        </w:tc>
        <w:tc>
          <w:tcPr>
            <w:tcW w:type="dxa" w:w="2448"/>
            <w:vAlign w:val="center"/>
            <w:shd w:fill="F1F6F8"/>
          </w:tcPr>
          <w:p>
            <w:pPr>
              <w:spacing w:after="20"/>
            </w:pPr>
            <w:r/>
            <w:r>
              <w:rPr>
                <w:rFonts w:ascii="Aptos" w:hAnsi="Aptos"/>
                <w:b w:val="0"/>
                <w:sz w:val="15"/>
              </w:rPr>
              <w:t>Compare OCR systems on numerical/temporal field fidelity; learn field-level evaluation design.</w:t>
            </w:r>
          </w:p>
        </w:tc>
        <w:tc>
          <w:tcPr>
            <w:tcW w:type="dxa" w:w="2736"/>
            <w:vAlign w:val="center"/>
            <w:shd w:fill="F1F6F8"/>
          </w:tcPr>
          <w:p>
            <w:pPr>
              <w:spacing w:after="20"/>
            </w:pPr>
            <w:r/>
            <w:r>
              <w:rPr>
                <w:rFonts w:ascii="Aptos" w:hAnsi="Aptos"/>
                <w:b w:val="0"/>
                <w:sz w:val="15"/>
              </w:rPr>
              <w:t>Not FDR-specific; inspect repository licence and exact dataset access terms.</w:t>
            </w:r>
          </w:p>
        </w:tc>
      </w:tr>
      <w:tr>
        <w:tc>
          <w:tcPr>
            <w:tcW w:type="dxa" w:w="1944"/>
            <w:vAlign w:val="center"/>
          </w:tcPr>
          <w:p>
            <w:pPr>
              <w:spacing w:after="20"/>
            </w:pPr>
            <w:r/>
            <w:r>
              <w:rPr>
                <w:rFonts w:ascii="Aptos" w:hAnsi="Aptos"/>
                <w:b w:val="0"/>
                <w:sz w:val="15"/>
              </w:rPr>
              <w:t>Synthetic FDR records (team-generated)</w:t>
            </w:r>
          </w:p>
        </w:tc>
        <w:tc>
          <w:tcPr>
            <w:tcW w:type="dxa" w:w="2952"/>
            <w:vAlign w:val="center"/>
          </w:tcPr>
          <w:p>
            <w:pPr>
              <w:spacing w:after="20"/>
            </w:pPr>
            <w:r/>
            <w:r>
              <w:rPr>
                <w:rFonts w:ascii="Aptos" w:hAnsi="Aptos"/>
                <w:b w:val="0"/>
                <w:sz w:val="15"/>
              </w:rPr>
              <w:t>Generated institutions, instrument IDs, amounts, dates, workflow events, document versions and planted discrepancies.</w:t>
            </w:r>
          </w:p>
        </w:tc>
        <w:tc>
          <w:tcPr>
            <w:tcW w:type="dxa" w:w="2448"/>
            <w:vAlign w:val="center"/>
          </w:tcPr>
          <w:p>
            <w:pPr>
              <w:spacing w:after="20"/>
            </w:pPr>
            <w:r/>
            <w:r>
              <w:rPr>
                <w:rFonts w:ascii="Aptos" w:hAnsi="Aptos"/>
                <w:b w:val="0"/>
                <w:sz w:val="15"/>
              </w:rPr>
              <w:t>End-to-end functional tests, rule testing, demo scenarios, controlled duplicate/mismatch cases.</w:t>
            </w:r>
          </w:p>
        </w:tc>
        <w:tc>
          <w:tcPr>
            <w:tcW w:type="dxa" w:w="2736"/>
            <w:vAlign w:val="center"/>
          </w:tcPr>
          <w:p>
            <w:pPr>
              <w:spacing w:after="20"/>
            </w:pPr>
            <w:r/>
            <w:r>
              <w:rPr>
                <w:rFonts w:ascii="Aptos" w:hAnsi="Aptos"/>
                <w:b w:val="0"/>
                <w:sz w:val="15"/>
              </w:rPr>
              <w:t>Not real-world evidence; cannot support claims of real-world accuracy or prevalence.</w:t>
            </w:r>
          </w:p>
        </w:tc>
      </w:tr>
      <w:tr>
        <w:tc>
          <w:tcPr>
            <w:tcW w:type="dxa" w:w="1944"/>
            <w:vAlign w:val="center"/>
            <w:shd w:fill="F1F6F8"/>
          </w:tcPr>
          <w:p>
            <w:pPr>
              <w:spacing w:after="20"/>
            </w:pPr>
            <w:r/>
            <w:r>
              <w:rPr>
                <w:rFonts w:ascii="Aptos" w:hAnsi="Aptos"/>
                <w:b w:val="0"/>
                <w:sz w:val="15"/>
              </w:rPr>
              <w:t>Real AICTE/bank records</w:t>
            </w:r>
          </w:p>
        </w:tc>
        <w:tc>
          <w:tcPr>
            <w:tcW w:type="dxa" w:w="2952"/>
            <w:vAlign w:val="center"/>
            <w:shd w:fill="F1F6F8"/>
          </w:tcPr>
          <w:p>
            <w:pPr>
              <w:spacing w:after="20"/>
            </w:pPr>
            <w:r/>
            <w:r>
              <w:rPr>
                <w:rFonts w:ascii="Aptos" w:hAnsi="Aptos"/>
                <w:b w:val="0"/>
                <w:sz w:val="15"/>
              </w:rPr>
              <w:t>Would be domain-representative if lawfully and officially provided.</w:t>
            </w:r>
          </w:p>
        </w:tc>
        <w:tc>
          <w:tcPr>
            <w:tcW w:type="dxa" w:w="2448"/>
            <w:vAlign w:val="center"/>
            <w:shd w:fill="F1F6F8"/>
          </w:tcPr>
          <w:p>
            <w:pPr>
              <w:spacing w:after="20"/>
            </w:pPr>
            <w:r/>
            <w:r>
              <w:rPr>
                <w:rFonts w:ascii="Aptos" w:hAnsi="Aptos"/>
                <w:b w:val="0"/>
                <w:sz w:val="15"/>
              </w:rPr>
              <w:t>Potential future validation or pilot.</w:t>
            </w:r>
          </w:p>
        </w:tc>
        <w:tc>
          <w:tcPr>
            <w:tcW w:type="dxa" w:w="2736"/>
            <w:vAlign w:val="center"/>
            <w:shd w:fill="F1F6F8"/>
          </w:tcPr>
          <w:p>
            <w:pPr>
              <w:spacing w:after="20"/>
            </w:pPr>
            <w:r/>
            <w:r>
              <w:rPr>
                <w:rFonts w:ascii="Aptos" w:hAnsi="Aptos"/>
                <w:b w:val="0"/>
                <w:sz w:val="15"/>
              </w:rPr>
              <w:t>Requires explicit authorisation, privacy/security controls and governance; not assumed available.</w:t>
            </w:r>
          </w:p>
        </w:tc>
      </w:tr>
    </w:tbl>
    <w:p/>
    <w:p>
      <w:pPr>
        <w:pStyle w:val="Heading2"/>
      </w:pPr>
      <w:r>
        <w:t>5.1 Proposed synthetic data schema</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2304A"/>
          </w:tcPr>
          <w:p>
            <w:pPr>
              <w:spacing w:after="20"/>
            </w:pPr>
            <w:r/>
            <w:r>
              <w:rPr>
                <w:rFonts w:ascii="Aptos" w:hAnsi="Aptos"/>
                <w:b/>
                <w:color w:val="FFFFFF"/>
                <w:sz w:val="15"/>
              </w:rPr>
              <w:t>File/table</w:t>
            </w:r>
          </w:p>
        </w:tc>
        <w:tc>
          <w:tcPr>
            <w:tcW w:type="dxa" w:w="4464"/>
            <w:vAlign w:val="center"/>
            <w:shd w:fill="12304A"/>
          </w:tcPr>
          <w:p>
            <w:pPr>
              <w:spacing w:after="20"/>
            </w:pPr>
            <w:r/>
            <w:r>
              <w:rPr>
                <w:rFonts w:ascii="Aptos" w:hAnsi="Aptos"/>
                <w:b/>
                <w:color w:val="FFFFFF"/>
                <w:sz w:val="15"/>
              </w:rPr>
              <w:t>Example fields</w:t>
            </w:r>
          </w:p>
        </w:tc>
        <w:tc>
          <w:tcPr>
            <w:tcW w:type="dxa" w:w="3600"/>
            <w:vAlign w:val="center"/>
            <w:shd w:fill="12304A"/>
          </w:tcPr>
          <w:p>
            <w:pPr>
              <w:spacing w:after="20"/>
            </w:pPr>
            <w:r/>
            <w:r>
              <w:rPr>
                <w:rFonts w:ascii="Aptos" w:hAnsi="Aptos"/>
                <w:b/>
                <w:color w:val="FFFFFF"/>
                <w:sz w:val="15"/>
              </w:rPr>
              <w:t>Purpose</w:t>
            </w:r>
          </w:p>
        </w:tc>
      </w:tr>
      <w:tr>
        <w:tc>
          <w:tcPr>
            <w:tcW w:type="dxa" w:w="2016"/>
            <w:vAlign w:val="center"/>
          </w:tcPr>
          <w:p>
            <w:pPr>
              <w:spacing w:after="20"/>
            </w:pPr>
            <w:r/>
            <w:r>
              <w:rPr>
                <w:rFonts w:ascii="Aptos" w:hAnsi="Aptos"/>
                <w:b w:val="0"/>
                <w:sz w:val="15"/>
              </w:rPr>
              <w:t>fdr_records</w:t>
            </w:r>
          </w:p>
        </w:tc>
        <w:tc>
          <w:tcPr>
            <w:tcW w:type="dxa" w:w="4464"/>
            <w:vAlign w:val="center"/>
          </w:tcPr>
          <w:p>
            <w:pPr>
              <w:spacing w:after="20"/>
            </w:pPr>
            <w:r/>
            <w:r>
              <w:rPr>
                <w:rFonts w:ascii="Aptos" w:hAnsi="Aptos"/>
                <w:b w:val="0"/>
                <w:sz w:val="15"/>
              </w:rPr>
              <w:t>synthetic_fdr_id, synthetic_institution_id, bank_name_code, instrument_no_token, amount, issue_date, maturity_date, lifecycle_status</w:t>
            </w:r>
          </w:p>
        </w:tc>
        <w:tc>
          <w:tcPr>
            <w:tcW w:type="dxa" w:w="3600"/>
            <w:vAlign w:val="center"/>
          </w:tcPr>
          <w:p>
            <w:pPr>
              <w:spacing w:after="20"/>
            </w:pPr>
            <w:r/>
            <w:r>
              <w:rPr>
                <w:rFonts w:ascii="Aptos" w:hAnsi="Aptos"/>
                <w:b w:val="0"/>
                <w:sz w:val="15"/>
              </w:rPr>
              <w:t>Lifecycle and maturity workflow.</w:t>
            </w:r>
          </w:p>
        </w:tc>
      </w:tr>
      <w:tr>
        <w:tc>
          <w:tcPr>
            <w:tcW w:type="dxa" w:w="2016"/>
            <w:vAlign w:val="center"/>
            <w:shd w:fill="F1F6F8"/>
          </w:tcPr>
          <w:p>
            <w:pPr>
              <w:spacing w:after="20"/>
            </w:pPr>
            <w:r/>
            <w:r>
              <w:rPr>
                <w:rFonts w:ascii="Aptos" w:hAnsi="Aptos"/>
                <w:b w:val="0"/>
                <w:sz w:val="15"/>
              </w:rPr>
              <w:t>document_metadata</w:t>
            </w:r>
          </w:p>
        </w:tc>
        <w:tc>
          <w:tcPr>
            <w:tcW w:type="dxa" w:w="4464"/>
            <w:vAlign w:val="center"/>
            <w:shd w:fill="F1F6F8"/>
          </w:tcPr>
          <w:p>
            <w:pPr>
              <w:spacing w:after="20"/>
            </w:pPr>
            <w:r/>
            <w:r>
              <w:rPr>
                <w:rFonts w:ascii="Aptos" w:hAnsi="Aptos"/>
                <w:b w:val="0"/>
                <w:sz w:val="15"/>
              </w:rPr>
              <w:t>document_id, fdr_id, document_type, upload_time, file_hash, version, review_state</w:t>
            </w:r>
          </w:p>
        </w:tc>
        <w:tc>
          <w:tcPr>
            <w:tcW w:type="dxa" w:w="3600"/>
            <w:vAlign w:val="center"/>
            <w:shd w:fill="F1F6F8"/>
          </w:tcPr>
          <w:p>
            <w:pPr>
              <w:spacing w:after="20"/>
            </w:pPr>
            <w:r/>
            <w:r>
              <w:rPr>
                <w:rFonts w:ascii="Aptos" w:hAnsi="Aptos"/>
                <w:b w:val="0"/>
                <w:sz w:val="15"/>
              </w:rPr>
              <w:t>Document inventory, versioning and integrity checks.</w:t>
            </w:r>
          </w:p>
        </w:tc>
      </w:tr>
      <w:tr>
        <w:tc>
          <w:tcPr>
            <w:tcW w:type="dxa" w:w="2016"/>
            <w:vAlign w:val="center"/>
          </w:tcPr>
          <w:p>
            <w:pPr>
              <w:spacing w:after="20"/>
            </w:pPr>
            <w:r/>
            <w:r>
              <w:rPr>
                <w:rFonts w:ascii="Aptos" w:hAnsi="Aptos"/>
                <w:b w:val="0"/>
                <w:sz w:val="15"/>
              </w:rPr>
              <w:t>extracted_fields</w:t>
            </w:r>
          </w:p>
        </w:tc>
        <w:tc>
          <w:tcPr>
            <w:tcW w:type="dxa" w:w="4464"/>
            <w:vAlign w:val="center"/>
          </w:tcPr>
          <w:p>
            <w:pPr>
              <w:spacing w:after="20"/>
            </w:pPr>
            <w:r/>
            <w:r>
              <w:rPr>
                <w:rFonts w:ascii="Aptos" w:hAnsi="Aptos"/>
                <w:b w:val="0"/>
                <w:sz w:val="15"/>
              </w:rPr>
              <w:t>document_id, field_name, extracted_value, confidence, page_number, bounding_box, reviewer_corrected_value</w:t>
            </w:r>
          </w:p>
        </w:tc>
        <w:tc>
          <w:tcPr>
            <w:tcW w:type="dxa" w:w="3600"/>
            <w:vAlign w:val="center"/>
          </w:tcPr>
          <w:p>
            <w:pPr>
              <w:spacing w:after="20"/>
            </w:pPr>
            <w:r/>
            <w:r>
              <w:rPr>
                <w:rFonts w:ascii="Aptos" w:hAnsi="Aptos"/>
                <w:b w:val="0"/>
                <w:sz w:val="15"/>
              </w:rPr>
              <w:t>Traceable OCR and field review.</w:t>
            </w:r>
          </w:p>
        </w:tc>
      </w:tr>
      <w:tr>
        <w:tc>
          <w:tcPr>
            <w:tcW w:type="dxa" w:w="2016"/>
            <w:vAlign w:val="center"/>
            <w:shd w:fill="F1F6F8"/>
          </w:tcPr>
          <w:p>
            <w:pPr>
              <w:spacing w:after="20"/>
            </w:pPr>
            <w:r/>
            <w:r>
              <w:rPr>
                <w:rFonts w:ascii="Aptos" w:hAnsi="Aptos"/>
                <w:b w:val="0"/>
                <w:sz w:val="15"/>
              </w:rPr>
              <w:t>verification_checks</w:t>
            </w:r>
          </w:p>
        </w:tc>
        <w:tc>
          <w:tcPr>
            <w:tcW w:type="dxa" w:w="4464"/>
            <w:vAlign w:val="center"/>
            <w:shd w:fill="F1F6F8"/>
          </w:tcPr>
          <w:p>
            <w:pPr>
              <w:spacing w:after="20"/>
            </w:pPr>
            <w:r/>
            <w:r>
              <w:rPr>
                <w:rFonts w:ascii="Aptos" w:hAnsi="Aptos"/>
                <w:b w:val="0"/>
                <w:sz w:val="15"/>
              </w:rPr>
              <w:t>check_id, fdr_id, check_type, outcome, evidence_ref, timestamp, rule_version, reviewer_id</w:t>
            </w:r>
          </w:p>
        </w:tc>
        <w:tc>
          <w:tcPr>
            <w:tcW w:type="dxa" w:w="3600"/>
            <w:vAlign w:val="center"/>
            <w:shd w:fill="F1F6F8"/>
          </w:tcPr>
          <w:p>
            <w:pPr>
              <w:spacing w:after="20"/>
            </w:pPr>
            <w:r/>
            <w:r>
              <w:rPr>
                <w:rFonts w:ascii="Aptos" w:hAnsi="Aptos"/>
                <w:b w:val="0"/>
                <w:sz w:val="15"/>
              </w:rPr>
              <w:t>Evidence-linked verification history.</w:t>
            </w:r>
          </w:p>
        </w:tc>
      </w:tr>
      <w:tr>
        <w:tc>
          <w:tcPr>
            <w:tcW w:type="dxa" w:w="2016"/>
            <w:vAlign w:val="center"/>
          </w:tcPr>
          <w:p>
            <w:pPr>
              <w:spacing w:after="20"/>
            </w:pPr>
            <w:r/>
            <w:r>
              <w:rPr>
                <w:rFonts w:ascii="Aptos" w:hAnsi="Aptos"/>
                <w:b w:val="0"/>
                <w:sz w:val="15"/>
              </w:rPr>
              <w:t>workflow_events</w:t>
            </w:r>
          </w:p>
        </w:tc>
        <w:tc>
          <w:tcPr>
            <w:tcW w:type="dxa" w:w="4464"/>
            <w:vAlign w:val="center"/>
          </w:tcPr>
          <w:p>
            <w:pPr>
              <w:spacing w:after="20"/>
            </w:pPr>
            <w:r/>
            <w:r>
              <w:rPr>
                <w:rFonts w:ascii="Aptos" w:hAnsi="Aptos"/>
                <w:b w:val="0"/>
                <w:sz w:val="15"/>
              </w:rPr>
              <w:t>event_id, fdr_id, event_type, old_status, new_status, actor_role, event_time, reason_code</w:t>
            </w:r>
          </w:p>
        </w:tc>
        <w:tc>
          <w:tcPr>
            <w:tcW w:type="dxa" w:w="3600"/>
            <w:vAlign w:val="center"/>
          </w:tcPr>
          <w:p>
            <w:pPr>
              <w:spacing w:after="20"/>
            </w:pPr>
            <w:r/>
            <w:r>
              <w:rPr>
                <w:rFonts w:ascii="Aptos" w:hAnsi="Aptos"/>
                <w:b w:val="0"/>
                <w:sz w:val="15"/>
              </w:rPr>
              <w:t>Workflow analytics and audit tests.</w:t>
            </w:r>
          </w:p>
        </w:tc>
      </w:tr>
      <w:tr>
        <w:tc>
          <w:tcPr>
            <w:tcW w:type="dxa" w:w="2016"/>
            <w:vAlign w:val="center"/>
            <w:shd w:fill="F1F6F8"/>
          </w:tcPr>
          <w:p>
            <w:pPr>
              <w:spacing w:after="20"/>
            </w:pPr>
            <w:r/>
            <w:r>
              <w:rPr>
                <w:rFonts w:ascii="Aptos" w:hAnsi="Aptos"/>
                <w:b w:val="0"/>
                <w:sz w:val="15"/>
              </w:rPr>
              <w:t>test_pairs</w:t>
            </w:r>
          </w:p>
        </w:tc>
        <w:tc>
          <w:tcPr>
            <w:tcW w:type="dxa" w:w="4464"/>
            <w:vAlign w:val="center"/>
            <w:shd w:fill="F1F6F8"/>
          </w:tcPr>
          <w:p>
            <w:pPr>
              <w:spacing w:after="20"/>
            </w:pPr>
            <w:r/>
            <w:r>
              <w:rPr>
                <w:rFonts w:ascii="Aptos" w:hAnsi="Aptos"/>
                <w:b w:val="0"/>
                <w:sz w:val="15"/>
              </w:rPr>
              <w:t>pair_id, document_a, document_b, label_duplicate, duplicate_type</w:t>
            </w:r>
          </w:p>
        </w:tc>
        <w:tc>
          <w:tcPr>
            <w:tcW w:type="dxa" w:w="3600"/>
            <w:vAlign w:val="center"/>
            <w:shd w:fill="F1F6F8"/>
          </w:tcPr>
          <w:p>
            <w:pPr>
              <w:spacing w:after="20"/>
            </w:pPr>
            <w:r/>
            <w:r>
              <w:rPr>
                <w:rFonts w:ascii="Aptos" w:hAnsi="Aptos"/>
                <w:b w:val="0"/>
                <w:sz w:val="15"/>
              </w:rPr>
              <w:t>Evaluate duplicate matching only if labels are deliberately generated and documented.</w:t>
            </w:r>
          </w:p>
        </w:tc>
      </w:tr>
    </w:tbl>
    <w:p/>
    <w:p>
      <w:r>
        <w:t>Synthetic generation must be reproducible (fixed random seed), documented, and clearly labelled. Avoid using real bank account numbers, real institution identifiers or realistic personal data. If generating images of FDRs, mark them as synthetic/test documents and avoid reproducing bank security features or creating material that could be mistaken for valid instruments.</w:t>
      </w:r>
    </w:p>
    <w:p>
      <w:pPr>
        <w:pStyle w:val="Heading1"/>
      </w:pPr>
      <w:r>
        <w:t>6. Proposed technical approach (candidate, not final specification)</w:t>
      </w:r>
    </w:p>
    <w:p>
      <w:r>
        <w:t>A modular monolith is sufficient for a prototype; microservices or blockchain are not justified by default. The design should preserve a clear separation between document checks, external verification, workflow rules and human decisions.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2304A"/>
          </w:tcPr>
          <w:p>
            <w:pPr>
              <w:spacing w:after="20"/>
            </w:pPr>
            <w:r/>
            <w:r>
              <w:rPr>
                <w:rFonts w:ascii="Aptos" w:hAnsi="Aptos"/>
                <w:b/>
                <w:color w:val="FFFFFF"/>
                <w:sz w:val="15"/>
              </w:rPr>
              <w:t>Module</w:t>
            </w:r>
          </w:p>
        </w:tc>
        <w:tc>
          <w:tcPr>
            <w:tcW w:type="dxa" w:w="4680"/>
            <w:vAlign w:val="center"/>
            <w:shd w:fill="12304A"/>
          </w:tcPr>
          <w:p>
            <w:pPr>
              <w:spacing w:after="20"/>
            </w:pPr>
            <w:r/>
            <w:r>
              <w:rPr>
                <w:rFonts w:ascii="Aptos" w:hAnsi="Aptos"/>
                <w:b/>
                <w:color w:val="FFFFFF"/>
                <w:sz w:val="15"/>
              </w:rPr>
              <w:t>Responsibilities</w:t>
            </w:r>
          </w:p>
        </w:tc>
        <w:tc>
          <w:tcPr>
            <w:tcW w:type="dxa" w:w="3456"/>
            <w:vAlign w:val="center"/>
            <w:shd w:fill="12304A"/>
          </w:tcPr>
          <w:p>
            <w:pPr>
              <w:spacing w:after="20"/>
            </w:pPr>
            <w:r/>
            <w:r>
              <w:rPr>
                <w:rFonts w:ascii="Aptos" w:hAnsi="Aptos"/>
                <w:b/>
                <w:color w:val="FFFFFF"/>
                <w:sz w:val="15"/>
              </w:rPr>
              <w:t>Key caution</w:t>
            </w:r>
          </w:p>
        </w:tc>
      </w:tr>
      <w:tr>
        <w:tc>
          <w:tcPr>
            <w:tcW w:type="dxa" w:w="1944"/>
            <w:vAlign w:val="center"/>
          </w:tcPr>
          <w:p>
            <w:pPr>
              <w:spacing w:after="20"/>
            </w:pPr>
            <w:r/>
            <w:r>
              <w:rPr>
                <w:rFonts w:ascii="Aptos" w:hAnsi="Aptos"/>
                <w:b w:val="0"/>
                <w:sz w:val="15"/>
              </w:rPr>
              <w:t>Web UI</w:t>
            </w:r>
          </w:p>
        </w:tc>
        <w:tc>
          <w:tcPr>
            <w:tcW w:type="dxa" w:w="4680"/>
            <w:vAlign w:val="center"/>
          </w:tcPr>
          <w:p>
            <w:pPr>
              <w:spacing w:after="20"/>
            </w:pPr>
            <w:r/>
            <w:r>
              <w:rPr>
                <w:rFonts w:ascii="Aptos" w:hAnsi="Aptos"/>
                <w:b w:val="0"/>
                <w:sz w:val="15"/>
              </w:rPr>
              <w:t>Institution submission, officer review, instrument dashboard, evidence dossier.</w:t>
            </w:r>
          </w:p>
        </w:tc>
        <w:tc>
          <w:tcPr>
            <w:tcW w:type="dxa" w:w="3456"/>
            <w:vAlign w:val="center"/>
          </w:tcPr>
          <w:p>
            <w:pPr>
              <w:spacing w:after="20"/>
            </w:pPr>
            <w:r/>
            <w:r>
              <w:rPr>
                <w:rFonts w:ascii="Aptos" w:hAnsi="Aptos"/>
                <w:b w:val="0"/>
                <w:sz w:val="15"/>
              </w:rPr>
              <w:t>Show evidence and uncertainty; avoid misleading 'green tick' UX.</w:t>
            </w:r>
          </w:p>
        </w:tc>
      </w:tr>
      <w:tr>
        <w:tc>
          <w:tcPr>
            <w:tcW w:type="dxa" w:w="1944"/>
            <w:vAlign w:val="center"/>
            <w:shd w:fill="F1F6F8"/>
          </w:tcPr>
          <w:p>
            <w:pPr>
              <w:spacing w:after="20"/>
            </w:pPr>
            <w:r/>
            <w:r>
              <w:rPr>
                <w:rFonts w:ascii="Aptos" w:hAnsi="Aptos"/>
                <w:b w:val="0"/>
                <w:sz w:val="15"/>
              </w:rPr>
              <w:t>API and access control</w:t>
            </w:r>
          </w:p>
        </w:tc>
        <w:tc>
          <w:tcPr>
            <w:tcW w:type="dxa" w:w="4680"/>
            <w:vAlign w:val="center"/>
            <w:shd w:fill="F1F6F8"/>
          </w:tcPr>
          <w:p>
            <w:pPr>
              <w:spacing w:after="20"/>
            </w:pPr>
            <w:r/>
            <w:r>
              <w:rPr>
                <w:rFonts w:ascii="Aptos" w:hAnsi="Aptos"/>
                <w:b w:val="0"/>
                <w:sz w:val="15"/>
              </w:rPr>
              <w:t>Authentication, role-based access, institution-level data separation, input validation.</w:t>
            </w:r>
          </w:p>
        </w:tc>
        <w:tc>
          <w:tcPr>
            <w:tcW w:type="dxa" w:w="3456"/>
            <w:vAlign w:val="center"/>
            <w:shd w:fill="F1F6F8"/>
          </w:tcPr>
          <w:p>
            <w:pPr>
              <w:spacing w:after="20"/>
            </w:pPr>
            <w:r/>
            <w:r>
              <w:rPr>
                <w:rFonts w:ascii="Aptos" w:hAnsi="Aptos"/>
                <w:b w:val="0"/>
                <w:sz w:val="15"/>
              </w:rPr>
              <w:t>Test cross-institution access denial and least privilege.</w:t>
            </w:r>
          </w:p>
        </w:tc>
      </w:tr>
      <w:tr>
        <w:tc>
          <w:tcPr>
            <w:tcW w:type="dxa" w:w="1944"/>
            <w:vAlign w:val="center"/>
          </w:tcPr>
          <w:p>
            <w:pPr>
              <w:spacing w:after="20"/>
            </w:pPr>
            <w:r/>
            <w:r>
              <w:rPr>
                <w:rFonts w:ascii="Aptos" w:hAnsi="Aptos"/>
                <w:b w:val="0"/>
                <w:sz w:val="15"/>
              </w:rPr>
              <w:t>Document intake</w:t>
            </w:r>
          </w:p>
        </w:tc>
        <w:tc>
          <w:tcPr>
            <w:tcW w:type="dxa" w:w="4680"/>
            <w:vAlign w:val="center"/>
          </w:tcPr>
          <w:p>
            <w:pPr>
              <w:spacing w:after="20"/>
            </w:pPr>
            <w:r/>
            <w:r>
              <w:rPr>
                <w:rFonts w:ascii="Aptos" w:hAnsi="Aptos"/>
                <w:b w:val="0"/>
                <w:sz w:val="15"/>
              </w:rPr>
              <w:t>Allowlisted types, size limits, file-signature checks, generated storage names, safe storage.</w:t>
            </w:r>
          </w:p>
        </w:tc>
        <w:tc>
          <w:tcPr>
            <w:tcW w:type="dxa" w:w="3456"/>
            <w:vAlign w:val="center"/>
          </w:tcPr>
          <w:p>
            <w:pPr>
              <w:spacing w:after="20"/>
            </w:pPr>
            <w:r/>
            <w:r>
              <w:rPr>
                <w:rFonts w:ascii="Aptos" w:hAnsi="Aptos"/>
                <w:b w:val="0"/>
                <w:sz w:val="15"/>
              </w:rPr>
              <w:t>Never trust only filename or Content-Type.</w:t>
            </w:r>
          </w:p>
        </w:tc>
      </w:tr>
      <w:tr>
        <w:tc>
          <w:tcPr>
            <w:tcW w:type="dxa" w:w="1944"/>
            <w:vAlign w:val="center"/>
            <w:shd w:fill="F1F6F8"/>
          </w:tcPr>
          <w:p>
            <w:pPr>
              <w:spacing w:after="20"/>
            </w:pPr>
            <w:r/>
            <w:r>
              <w:rPr>
                <w:rFonts w:ascii="Aptos" w:hAnsi="Aptos"/>
                <w:b w:val="0"/>
                <w:sz w:val="15"/>
              </w:rPr>
              <w:t>Integrity service</w:t>
            </w:r>
          </w:p>
        </w:tc>
        <w:tc>
          <w:tcPr>
            <w:tcW w:type="dxa" w:w="4680"/>
            <w:vAlign w:val="center"/>
            <w:shd w:fill="F1F6F8"/>
          </w:tcPr>
          <w:p>
            <w:pPr>
              <w:spacing w:after="20"/>
            </w:pPr>
            <w:r/>
            <w:r>
              <w:rPr>
                <w:rFonts w:ascii="Aptos" w:hAnsi="Aptos"/>
                <w:b w:val="0"/>
                <w:sz w:val="15"/>
              </w:rPr>
              <w:t>SHA-256 hash, version history, exact-file duplicate detection.</w:t>
            </w:r>
          </w:p>
        </w:tc>
        <w:tc>
          <w:tcPr>
            <w:tcW w:type="dxa" w:w="3456"/>
            <w:vAlign w:val="center"/>
            <w:shd w:fill="F1F6F8"/>
          </w:tcPr>
          <w:p>
            <w:pPr>
              <w:spacing w:after="20"/>
            </w:pPr>
            <w:r/>
            <w:r>
              <w:rPr>
                <w:rFonts w:ascii="Aptos" w:hAnsi="Aptos"/>
                <w:b w:val="0"/>
                <w:sz w:val="15"/>
              </w:rPr>
              <w:t>Hash proves identity/change detection, not authenticity.</w:t>
            </w:r>
          </w:p>
        </w:tc>
      </w:tr>
      <w:tr>
        <w:tc>
          <w:tcPr>
            <w:tcW w:type="dxa" w:w="1944"/>
            <w:vAlign w:val="center"/>
          </w:tcPr>
          <w:p>
            <w:pPr>
              <w:spacing w:after="20"/>
            </w:pPr>
            <w:r/>
            <w:r>
              <w:rPr>
                <w:rFonts w:ascii="Aptos" w:hAnsi="Aptos"/>
                <w:b w:val="0"/>
                <w:sz w:val="15"/>
              </w:rPr>
              <w:t>PDF signature service</w:t>
            </w:r>
          </w:p>
        </w:tc>
        <w:tc>
          <w:tcPr>
            <w:tcW w:type="dxa" w:w="4680"/>
            <w:vAlign w:val="center"/>
          </w:tcPr>
          <w:p>
            <w:pPr>
              <w:spacing w:after="20"/>
            </w:pPr>
            <w:r/>
            <w:r>
              <w:rPr>
                <w:rFonts w:ascii="Aptos" w:hAnsi="Aptos"/>
                <w:b w:val="0"/>
                <w:sz w:val="15"/>
              </w:rPr>
              <w:t>Validate supported digital signatures and trust context.</w:t>
            </w:r>
          </w:p>
        </w:tc>
        <w:tc>
          <w:tcPr>
            <w:tcW w:type="dxa" w:w="3456"/>
            <w:vAlign w:val="center"/>
          </w:tcPr>
          <w:p>
            <w:pPr>
              <w:spacing w:after="20"/>
            </w:pPr>
            <w:r/>
            <w:r>
              <w:rPr>
                <w:rFonts w:ascii="Aptos" w:hAnsi="Aptos"/>
                <w:b w:val="0"/>
                <w:sz w:val="15"/>
              </w:rPr>
              <w:t>No signature is not proof of fraud; signature validity is not bank confirmation.</w:t>
            </w:r>
          </w:p>
        </w:tc>
      </w:tr>
      <w:tr>
        <w:tc>
          <w:tcPr>
            <w:tcW w:type="dxa" w:w="1944"/>
            <w:vAlign w:val="center"/>
            <w:shd w:fill="F1F6F8"/>
          </w:tcPr>
          <w:p>
            <w:pPr>
              <w:spacing w:after="20"/>
            </w:pPr>
            <w:r/>
            <w:r>
              <w:rPr>
                <w:rFonts w:ascii="Aptos" w:hAnsi="Aptos"/>
                <w:b w:val="0"/>
                <w:sz w:val="15"/>
              </w:rPr>
              <w:t>OCR/extraction</w:t>
            </w:r>
          </w:p>
        </w:tc>
        <w:tc>
          <w:tcPr>
            <w:tcW w:type="dxa" w:w="4680"/>
            <w:vAlign w:val="center"/>
            <w:shd w:fill="F1F6F8"/>
          </w:tcPr>
          <w:p>
            <w:pPr>
              <w:spacing w:after="20"/>
            </w:pPr>
            <w:r/>
            <w:r>
              <w:rPr>
                <w:rFonts w:ascii="Aptos" w:hAnsi="Aptos"/>
                <w:b w:val="0"/>
                <w:sz w:val="15"/>
              </w:rPr>
              <w:t>Extract selected fields and source positions; record confidence.</w:t>
            </w:r>
          </w:p>
        </w:tc>
        <w:tc>
          <w:tcPr>
            <w:tcW w:type="dxa" w:w="3456"/>
            <w:vAlign w:val="center"/>
            <w:shd w:fill="F1F6F8"/>
          </w:tcPr>
          <w:p>
            <w:pPr>
              <w:spacing w:after="20"/>
            </w:pPr>
            <w:r/>
            <w:r>
              <w:rPr>
                <w:rFonts w:ascii="Aptos" w:hAnsi="Aptos"/>
                <w:b w:val="0"/>
                <w:sz w:val="15"/>
              </w:rPr>
              <w:t>Measure field-level accuracy; route low-confidence values to review.</w:t>
            </w:r>
          </w:p>
        </w:tc>
      </w:tr>
      <w:tr>
        <w:tc>
          <w:tcPr>
            <w:tcW w:type="dxa" w:w="1944"/>
            <w:vAlign w:val="center"/>
          </w:tcPr>
          <w:p>
            <w:pPr>
              <w:spacing w:after="20"/>
            </w:pPr>
            <w:r/>
            <w:r>
              <w:rPr>
                <w:rFonts w:ascii="Aptos" w:hAnsi="Aptos"/>
                <w:b w:val="0"/>
                <w:sz w:val="15"/>
              </w:rPr>
              <w:t>Consistency rules</w:t>
            </w:r>
          </w:p>
        </w:tc>
        <w:tc>
          <w:tcPr>
            <w:tcW w:type="dxa" w:w="4680"/>
            <w:vAlign w:val="center"/>
          </w:tcPr>
          <w:p>
            <w:pPr>
              <w:spacing w:after="20"/>
            </w:pPr>
            <w:r/>
            <w:r>
              <w:rPr>
                <w:rFonts w:ascii="Aptos" w:hAnsi="Aptos"/>
                <w:b w:val="0"/>
                <w:sz w:val="15"/>
              </w:rPr>
              <w:t>Compare form values to extracted fields and related documents; flag missing/expired/mismatched values.</w:t>
            </w:r>
          </w:p>
        </w:tc>
        <w:tc>
          <w:tcPr>
            <w:tcW w:type="dxa" w:w="3456"/>
            <w:vAlign w:val="center"/>
          </w:tcPr>
          <w:p>
            <w:pPr>
              <w:spacing w:after="20"/>
            </w:pPr>
            <w:r/>
            <w:r>
              <w:rPr>
                <w:rFonts w:ascii="Aptos" w:hAnsi="Aptos"/>
                <w:b w:val="0"/>
                <w:sz w:val="15"/>
              </w:rPr>
              <w:t>Rule outcomes must cite source values and policy/rule version.</w:t>
            </w:r>
          </w:p>
        </w:tc>
      </w:tr>
      <w:tr>
        <w:tc>
          <w:tcPr>
            <w:tcW w:type="dxa" w:w="1944"/>
            <w:vAlign w:val="center"/>
            <w:shd w:fill="F1F6F8"/>
          </w:tcPr>
          <w:p>
            <w:pPr>
              <w:spacing w:after="20"/>
            </w:pPr>
            <w:r/>
            <w:r>
              <w:rPr>
                <w:rFonts w:ascii="Aptos" w:hAnsi="Aptos"/>
                <w:b w:val="0"/>
                <w:sz w:val="15"/>
              </w:rPr>
              <w:t>Duplicate/anomaly module</w:t>
            </w:r>
          </w:p>
        </w:tc>
        <w:tc>
          <w:tcPr>
            <w:tcW w:type="dxa" w:w="4680"/>
            <w:vAlign w:val="center"/>
            <w:shd w:fill="F1F6F8"/>
          </w:tcPr>
          <w:p>
            <w:pPr>
              <w:spacing w:after="20"/>
            </w:pPr>
            <w:r/>
            <w:r>
              <w:rPr>
                <w:rFonts w:ascii="Aptos" w:hAnsi="Aptos"/>
                <w:b w:val="0"/>
                <w:sz w:val="15"/>
              </w:rPr>
              <w:t>Exact hashes, normalised identifiers and cautious fuzzy matching.</w:t>
            </w:r>
          </w:p>
        </w:tc>
        <w:tc>
          <w:tcPr>
            <w:tcW w:type="dxa" w:w="3456"/>
            <w:vAlign w:val="center"/>
            <w:shd w:fill="F1F6F8"/>
          </w:tcPr>
          <w:p>
            <w:pPr>
              <w:spacing w:after="20"/>
            </w:pPr>
            <w:r/>
            <w:r>
              <w:rPr>
                <w:rFonts w:ascii="Aptos" w:hAnsi="Aptos"/>
                <w:b w:val="0"/>
                <w:sz w:val="15"/>
              </w:rPr>
              <w:t>A duplicate flag is a review signal, not a fraud verdict.</w:t>
            </w:r>
          </w:p>
        </w:tc>
      </w:tr>
      <w:tr>
        <w:tc>
          <w:tcPr>
            <w:tcW w:type="dxa" w:w="1944"/>
            <w:vAlign w:val="center"/>
          </w:tcPr>
          <w:p>
            <w:pPr>
              <w:spacing w:after="20"/>
            </w:pPr>
            <w:r/>
            <w:r>
              <w:rPr>
                <w:rFonts w:ascii="Aptos" w:hAnsi="Aptos"/>
                <w:b w:val="0"/>
                <w:sz w:val="15"/>
              </w:rPr>
              <w:t>Bank verification adapter</w:t>
            </w:r>
          </w:p>
        </w:tc>
        <w:tc>
          <w:tcPr>
            <w:tcW w:type="dxa" w:w="4680"/>
            <w:vAlign w:val="center"/>
          </w:tcPr>
          <w:p>
            <w:pPr>
              <w:spacing w:after="20"/>
            </w:pPr>
            <w:r/>
            <w:r>
              <w:rPr>
                <w:rFonts w:ascii="Aptos" w:hAnsi="Aptos"/>
                <w:b w:val="0"/>
                <w:sz w:val="15"/>
              </w:rPr>
              <w:t>Represent live authorised, manual and demo/simulated verification separately.</w:t>
            </w:r>
          </w:p>
        </w:tc>
        <w:tc>
          <w:tcPr>
            <w:tcW w:type="dxa" w:w="3456"/>
            <w:vAlign w:val="center"/>
          </w:tcPr>
          <w:p>
            <w:pPr>
              <w:spacing w:after="20"/>
            </w:pPr>
            <w:r/>
            <w:r>
              <w:rPr>
                <w:rFonts w:ascii="Aptos" w:hAnsi="Aptos"/>
                <w:b w:val="0"/>
                <w:sz w:val="15"/>
              </w:rPr>
              <w:t>Never label a simulated response as live bank confirmation.</w:t>
            </w:r>
          </w:p>
        </w:tc>
      </w:tr>
      <w:tr>
        <w:tc>
          <w:tcPr>
            <w:tcW w:type="dxa" w:w="1944"/>
            <w:vAlign w:val="center"/>
            <w:shd w:fill="F1F6F8"/>
          </w:tcPr>
          <w:p>
            <w:pPr>
              <w:spacing w:after="20"/>
            </w:pPr>
            <w:r/>
            <w:r>
              <w:rPr>
                <w:rFonts w:ascii="Aptos" w:hAnsi="Aptos"/>
                <w:b w:val="0"/>
                <w:sz w:val="15"/>
              </w:rPr>
              <w:t>Workflow/audit</w:t>
            </w:r>
          </w:p>
        </w:tc>
        <w:tc>
          <w:tcPr>
            <w:tcW w:type="dxa" w:w="4680"/>
            <w:vAlign w:val="center"/>
            <w:shd w:fill="F1F6F8"/>
          </w:tcPr>
          <w:p>
            <w:pPr>
              <w:spacing w:after="20"/>
            </w:pPr>
            <w:r/>
            <w:r>
              <w:rPr>
                <w:rFonts w:ascii="Aptos" w:hAnsi="Aptos"/>
                <w:b w:val="0"/>
                <w:sz w:val="15"/>
              </w:rPr>
              <w:t>Clearance states, deficiency returns, release request history, actor and timestamp.</w:t>
            </w:r>
          </w:p>
        </w:tc>
        <w:tc>
          <w:tcPr>
            <w:tcW w:type="dxa" w:w="3456"/>
            <w:vAlign w:val="center"/>
            <w:shd w:fill="F1F6F8"/>
          </w:tcPr>
          <w:p>
            <w:pPr>
              <w:spacing w:after="20"/>
            </w:pPr>
            <w:r/>
            <w:r>
              <w:rPr>
                <w:rFonts w:ascii="Aptos" w:hAnsi="Aptos"/>
                <w:b w:val="0"/>
                <w:sz w:val="15"/>
              </w:rPr>
              <w:t>Final decisions remain with authorised officials.</w:t>
            </w:r>
          </w:p>
        </w:tc>
      </w:tr>
    </w:tbl>
    <w:p/>
    <w:p>
      <w:pPr>
        <w:pStyle w:val="Heading2"/>
      </w:pPr>
      <w:r>
        <w:t>6.1 Suggested technology choices</w:t>
      </w:r>
    </w:p>
    <w:p>
      <w:pPr>
        <w:pStyle w:val="ListBullet"/>
        <w:spacing w:after="40"/>
      </w:pPr>
      <w:r>
        <w:t>Frontend: React + Vite; component library and charting are implementation choices, not innovation by themselves.</w:t>
      </w:r>
    </w:p>
    <w:p>
      <w:pPr>
        <w:pStyle w:val="ListBullet"/>
        <w:spacing w:after="40"/>
      </w:pPr>
      <w:r>
        <w:t>Backend: Python FastAPI, SQLAlchemy and a relational database. SQLite is acceptable for a local prototype; production database choice depends on deployment requirements.</w:t>
      </w:r>
    </w:p>
    <w:p>
      <w:pPr>
        <w:pStyle w:val="ListBullet"/>
        <w:spacing w:after="40"/>
      </w:pPr>
      <w:r>
        <w:t>PDF signature validation: evaluate pyHanko against supported sample PDFs and document trust configuration.</w:t>
      </w:r>
    </w:p>
    <w:p>
      <w:pPr>
        <w:pStyle w:val="ListBullet"/>
        <w:spacing w:after="40"/>
      </w:pPr>
      <w:r>
        <w:t>OCR: compare at least two plausible OCR pipelines on a small annotated test set before choosing; do not assume multi-engine voting always improves accuracy.</w:t>
      </w:r>
    </w:p>
    <w:p>
      <w:pPr>
        <w:pStyle w:val="ListBullet"/>
        <w:spacing w:after="40"/>
      </w:pPr>
      <w:r>
        <w:t>Data processing: Python and Pandas; use deterministic rules for requirements that are inherently deterministic.</w:t>
      </w:r>
    </w:p>
    <w:p>
      <w:pPr>
        <w:pStyle w:val="ListBullet"/>
        <w:spacing w:after="40"/>
      </w:pPr>
      <w:r>
        <w:t>Testing: Pytest/HTTPX for API and security behaviour; frontend tests as time allows; reproducible test fixtures.</w:t>
      </w:r>
    </w:p>
    <w:p>
      <w:pPr>
        <w:pStyle w:val="ListBullet"/>
        <w:spacing w:after="40"/>
      </w:pPr>
      <w:r>
        <w:t>ML: only add a tampering model after dataset access, licence, hardware, inference requirements and evaluation scope are confirmed.</w:t>
      </w:r>
    </w:p>
    <w:p>
      <w:pPr>
        <w:pStyle w:val="Heading2"/>
      </w:pPr>
      <w:r>
        <w:t>6.2 Bank verification modes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2304A"/>
          </w:tcPr>
          <w:p>
            <w:pPr>
              <w:spacing w:after="20"/>
            </w:pPr>
            <w:r/>
            <w:r>
              <w:rPr>
                <w:rFonts w:ascii="Aptos" w:hAnsi="Aptos"/>
                <w:b/>
                <w:color w:val="FFFFFF"/>
                <w:sz w:val="15"/>
              </w:rPr>
              <w:t>Mode</w:t>
            </w:r>
          </w:p>
        </w:tc>
        <w:tc>
          <w:tcPr>
            <w:tcW w:type="dxa" w:w="3888"/>
            <w:vAlign w:val="center"/>
            <w:shd w:fill="12304A"/>
          </w:tcPr>
          <w:p>
            <w:pPr>
              <w:spacing w:after="20"/>
            </w:pPr>
            <w:r/>
            <w:r>
              <w:rPr>
                <w:rFonts w:ascii="Aptos" w:hAnsi="Aptos"/>
                <w:b/>
                <w:color w:val="FFFFFF"/>
                <w:sz w:val="15"/>
              </w:rPr>
              <w:t>Meaning in the system</w:t>
            </w:r>
          </w:p>
        </w:tc>
        <w:tc>
          <w:tcPr>
            <w:tcW w:type="dxa" w:w="4032"/>
            <w:vAlign w:val="center"/>
            <w:shd w:fill="12304A"/>
          </w:tcPr>
          <w:p>
            <w:pPr>
              <w:spacing w:after="20"/>
            </w:pPr>
            <w:r/>
            <w:r>
              <w:rPr>
                <w:rFonts w:ascii="Aptos" w:hAnsi="Aptos"/>
                <w:b/>
                <w:color w:val="FFFFFF"/>
                <w:sz w:val="15"/>
              </w:rPr>
              <w:t>Permitted wording</w:t>
            </w:r>
          </w:p>
        </w:tc>
      </w:tr>
      <w:tr>
        <w:tc>
          <w:tcPr>
            <w:tcW w:type="dxa" w:w="2088"/>
            <w:vAlign w:val="center"/>
          </w:tcPr>
          <w:p>
            <w:pPr>
              <w:spacing w:after="20"/>
            </w:pPr>
            <w:r/>
            <w:r>
              <w:rPr>
                <w:rFonts w:ascii="Aptos" w:hAnsi="Aptos"/>
                <w:b w:val="0"/>
                <w:sz w:val="15"/>
              </w:rPr>
              <w:t>LIVE_AUTHORISED</w:t>
            </w:r>
          </w:p>
        </w:tc>
        <w:tc>
          <w:tcPr>
            <w:tcW w:type="dxa" w:w="3888"/>
            <w:vAlign w:val="center"/>
          </w:tcPr>
          <w:p>
            <w:pPr>
              <w:spacing w:after="20"/>
            </w:pPr>
            <w:r/>
            <w:r>
              <w:rPr>
                <w:rFonts w:ascii="Aptos" w:hAnsi="Aptos"/>
                <w:b w:val="0"/>
                <w:sz w:val="15"/>
              </w:rPr>
              <w:t>A real, authorised interface or verified official process returns a result.</w:t>
            </w:r>
          </w:p>
        </w:tc>
        <w:tc>
          <w:tcPr>
            <w:tcW w:type="dxa" w:w="4032"/>
            <w:vAlign w:val="center"/>
          </w:tcPr>
          <w:p>
            <w:pPr>
              <w:spacing w:after="20"/>
            </w:pPr>
            <w:r/>
            <w:r>
              <w:rPr>
                <w:rFonts w:ascii="Aptos" w:hAnsi="Aptos"/>
                <w:b w:val="0"/>
                <w:sz w:val="15"/>
              </w:rPr>
              <w:t>State source, time, reference and exact result.</w:t>
            </w:r>
          </w:p>
        </w:tc>
      </w:tr>
      <w:tr>
        <w:tc>
          <w:tcPr>
            <w:tcW w:type="dxa" w:w="2088"/>
            <w:vAlign w:val="center"/>
            <w:shd w:fill="F1F6F8"/>
          </w:tcPr>
          <w:p>
            <w:pPr>
              <w:spacing w:after="20"/>
            </w:pPr>
            <w:r/>
            <w:r>
              <w:rPr>
                <w:rFonts w:ascii="Aptos" w:hAnsi="Aptos"/>
                <w:b w:val="0"/>
                <w:sz w:val="15"/>
              </w:rPr>
              <w:t>MANUAL_REVIEW</w:t>
            </w:r>
          </w:p>
        </w:tc>
        <w:tc>
          <w:tcPr>
            <w:tcW w:type="dxa" w:w="3888"/>
            <w:vAlign w:val="center"/>
            <w:shd w:fill="F1F6F8"/>
          </w:tcPr>
          <w:p>
            <w:pPr>
              <w:spacing w:after="20"/>
            </w:pPr>
            <w:r/>
            <w:r>
              <w:rPr>
                <w:rFonts w:ascii="Aptos" w:hAnsi="Aptos"/>
                <w:b w:val="0"/>
                <w:sz w:val="15"/>
              </w:rPr>
              <w:t>An authorised person records evidence from a bank/issuing authority.</w:t>
            </w:r>
          </w:p>
        </w:tc>
        <w:tc>
          <w:tcPr>
            <w:tcW w:type="dxa" w:w="4032"/>
            <w:vAlign w:val="center"/>
            <w:shd w:fill="F1F6F8"/>
          </w:tcPr>
          <w:p>
            <w:pPr>
              <w:spacing w:after="20"/>
            </w:pPr>
            <w:r/>
            <w:r>
              <w:rPr>
                <w:rFonts w:ascii="Aptos" w:hAnsi="Aptos"/>
                <w:b w:val="0"/>
                <w:sz w:val="15"/>
              </w:rPr>
              <w:t>State who recorded it, when, and the evidence reference.</w:t>
            </w:r>
          </w:p>
        </w:tc>
      </w:tr>
      <w:tr>
        <w:tc>
          <w:tcPr>
            <w:tcW w:type="dxa" w:w="2088"/>
            <w:vAlign w:val="center"/>
          </w:tcPr>
          <w:p>
            <w:pPr>
              <w:spacing w:after="20"/>
            </w:pPr>
            <w:r/>
            <w:r>
              <w:rPr>
                <w:rFonts w:ascii="Aptos" w:hAnsi="Aptos"/>
                <w:b w:val="0"/>
                <w:sz w:val="15"/>
              </w:rPr>
              <w:t>DEMO_SIMULATED</w:t>
            </w:r>
          </w:p>
        </w:tc>
        <w:tc>
          <w:tcPr>
            <w:tcW w:type="dxa" w:w="3888"/>
            <w:vAlign w:val="center"/>
          </w:tcPr>
          <w:p>
            <w:pPr>
              <w:spacing w:after="20"/>
            </w:pPr>
            <w:r/>
            <w:r>
              <w:rPr>
                <w:rFonts w:ascii="Aptos" w:hAnsi="Aptos"/>
                <w:b w:val="0"/>
                <w:sz w:val="15"/>
              </w:rPr>
              <w:t>A mock response is used for a controlled demonstration.</w:t>
            </w:r>
          </w:p>
        </w:tc>
        <w:tc>
          <w:tcPr>
            <w:tcW w:type="dxa" w:w="4032"/>
            <w:vAlign w:val="center"/>
          </w:tcPr>
          <w:p>
            <w:pPr>
              <w:spacing w:after="20"/>
            </w:pPr>
            <w:r/>
            <w:r>
              <w:rPr>
                <w:rFonts w:ascii="Aptos" w:hAnsi="Aptos"/>
                <w:b w:val="0"/>
                <w:sz w:val="15"/>
              </w:rPr>
              <w:t>Display 'simulated demo result — not bank-confirmed' prominently.</w:t>
            </w:r>
          </w:p>
        </w:tc>
      </w:tr>
      <w:tr>
        <w:tc>
          <w:tcPr>
            <w:tcW w:type="dxa" w:w="2088"/>
            <w:vAlign w:val="center"/>
            <w:shd w:fill="F1F6F8"/>
          </w:tcPr>
          <w:p>
            <w:pPr>
              <w:spacing w:after="20"/>
            </w:pPr>
            <w:r/>
            <w:r>
              <w:rPr>
                <w:rFonts w:ascii="Aptos" w:hAnsi="Aptos"/>
                <w:b w:val="0"/>
                <w:sz w:val="15"/>
              </w:rPr>
              <w:t>UNAVAILABLE/PENDING</w:t>
            </w:r>
          </w:p>
        </w:tc>
        <w:tc>
          <w:tcPr>
            <w:tcW w:type="dxa" w:w="3888"/>
            <w:vAlign w:val="center"/>
            <w:shd w:fill="F1F6F8"/>
          </w:tcPr>
          <w:p>
            <w:pPr>
              <w:spacing w:after="20"/>
            </w:pPr>
            <w:r/>
            <w:r>
              <w:rPr>
                <w:rFonts w:ascii="Aptos" w:hAnsi="Aptos"/>
                <w:b w:val="0"/>
                <w:sz w:val="15"/>
              </w:rPr>
              <w:t>No authorised confirmation is available.</w:t>
            </w:r>
          </w:p>
        </w:tc>
        <w:tc>
          <w:tcPr>
            <w:tcW w:type="dxa" w:w="4032"/>
            <w:vAlign w:val="center"/>
            <w:shd w:fill="F1F6F8"/>
          </w:tcPr>
          <w:p>
            <w:pPr>
              <w:spacing w:after="20"/>
            </w:pPr>
            <w:r/>
            <w:r>
              <w:rPr>
                <w:rFonts w:ascii="Aptos" w:hAnsi="Aptos"/>
                <w:b w:val="0"/>
                <w:sz w:val="15"/>
              </w:rPr>
              <w:t>Display 'not independently verified' or 'verification pending'.</w:t>
            </w:r>
          </w:p>
        </w:tc>
      </w:tr>
    </w:tbl>
    <w:p/>
    <w:p>
      <w:pPr>
        <w:pStyle w:val="Heading1"/>
      </w:pPr>
      <w:r>
        <w:t>7. Evaluation plan: what we must measure</w:t>
      </w:r>
    </w:p>
    <w:p>
      <w:r>
        <w:t>A credible project should evaluate each component separately and report the dataset, split strategy, baselines, metrics and known failures. Do not publish model accuracy until the team has run the evaluation and can reproduce the result.</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2304A"/>
          </w:tcPr>
          <w:p>
            <w:pPr>
              <w:spacing w:after="20"/>
            </w:pPr>
            <w:r/>
            <w:r>
              <w:rPr>
                <w:rFonts w:ascii="Aptos" w:hAnsi="Aptos"/>
                <w:b/>
                <w:color w:val="FFFFFF"/>
                <w:sz w:val="15"/>
              </w:rPr>
              <w:t>Component</w:t>
            </w:r>
          </w:p>
        </w:tc>
        <w:tc>
          <w:tcPr>
            <w:tcW w:type="dxa" w:w="4608"/>
            <w:vAlign w:val="center"/>
            <w:shd w:fill="12304A"/>
          </w:tcPr>
          <w:p>
            <w:pPr>
              <w:spacing w:after="20"/>
            </w:pPr>
            <w:r/>
            <w:r>
              <w:rPr>
                <w:rFonts w:ascii="Aptos" w:hAnsi="Aptos"/>
                <w:b/>
                <w:color w:val="FFFFFF"/>
                <w:sz w:val="15"/>
              </w:rPr>
              <w:t>Test/evaluation</w:t>
            </w:r>
          </w:p>
        </w:tc>
        <w:tc>
          <w:tcPr>
            <w:tcW w:type="dxa" w:w="3384"/>
            <w:vAlign w:val="center"/>
            <w:shd w:fill="12304A"/>
          </w:tcPr>
          <w:p>
            <w:pPr>
              <w:spacing w:after="20"/>
            </w:pPr>
            <w:r/>
            <w:r>
              <w:rPr>
                <w:rFonts w:ascii="Aptos" w:hAnsi="Aptos"/>
                <w:b/>
                <w:color w:val="FFFFFF"/>
                <w:sz w:val="15"/>
              </w:rPr>
              <w:t>Possible metrics</w:t>
            </w:r>
          </w:p>
        </w:tc>
      </w:tr>
      <w:tr>
        <w:tc>
          <w:tcPr>
            <w:tcW w:type="dxa" w:w="1944"/>
            <w:vAlign w:val="center"/>
          </w:tcPr>
          <w:p>
            <w:pPr>
              <w:spacing w:after="20"/>
            </w:pPr>
            <w:r/>
            <w:r>
              <w:rPr>
                <w:rFonts w:ascii="Aptos" w:hAnsi="Aptos"/>
                <w:b w:val="0"/>
                <w:sz w:val="15"/>
              </w:rPr>
              <w:t>Field extraction</w:t>
            </w:r>
          </w:p>
        </w:tc>
        <w:tc>
          <w:tcPr>
            <w:tcW w:type="dxa" w:w="4608"/>
            <w:vAlign w:val="center"/>
          </w:tcPr>
          <w:p>
            <w:pPr>
              <w:spacing w:after="20"/>
            </w:pPr>
            <w:r/>
            <w:r>
              <w:rPr>
                <w:rFonts w:ascii="Aptos" w:hAnsi="Aptos"/>
                <w:b w:val="0"/>
                <w:sz w:val="15"/>
              </w:rPr>
              <w:t>Manually label a representative sample of synthetic/test documents; compare extracted fields to ground truth.</w:t>
            </w:r>
          </w:p>
        </w:tc>
        <w:tc>
          <w:tcPr>
            <w:tcW w:type="dxa" w:w="3384"/>
            <w:vAlign w:val="center"/>
          </w:tcPr>
          <w:p>
            <w:pPr>
              <w:spacing w:after="20"/>
            </w:pPr>
            <w:r/>
            <w:r>
              <w:rPr>
                <w:rFonts w:ascii="Aptos" w:hAnsi="Aptos"/>
                <w:b w:val="0"/>
                <w:sz w:val="15"/>
              </w:rPr>
              <w:t>Exact match by field; precision/recall for field detection; date/amount correctness; low-confidence rate.</w:t>
            </w:r>
          </w:p>
        </w:tc>
      </w:tr>
      <w:tr>
        <w:tc>
          <w:tcPr>
            <w:tcW w:type="dxa" w:w="1944"/>
            <w:vAlign w:val="center"/>
            <w:shd w:fill="F1F6F8"/>
          </w:tcPr>
          <w:p>
            <w:pPr>
              <w:spacing w:after="20"/>
            </w:pPr>
            <w:r/>
            <w:r>
              <w:rPr>
                <w:rFonts w:ascii="Aptos" w:hAnsi="Aptos"/>
                <w:b w:val="0"/>
                <w:sz w:val="15"/>
              </w:rPr>
              <w:t>Cross-document checks</w:t>
            </w:r>
          </w:p>
        </w:tc>
        <w:tc>
          <w:tcPr>
            <w:tcW w:type="dxa" w:w="4608"/>
            <w:vAlign w:val="center"/>
            <w:shd w:fill="F1F6F8"/>
          </w:tcPr>
          <w:p>
            <w:pPr>
              <w:spacing w:after="20"/>
            </w:pPr>
            <w:r/>
            <w:r>
              <w:rPr>
                <w:rFonts w:ascii="Aptos" w:hAnsi="Aptos"/>
                <w:b w:val="0"/>
                <w:sz w:val="15"/>
              </w:rPr>
              <w:t>Plant known mismatches, missing fields and matching records; check expected rule outputs.</w:t>
            </w:r>
          </w:p>
        </w:tc>
        <w:tc>
          <w:tcPr>
            <w:tcW w:type="dxa" w:w="3384"/>
            <w:vAlign w:val="center"/>
            <w:shd w:fill="F1F6F8"/>
          </w:tcPr>
          <w:p>
            <w:pPr>
              <w:spacing w:after="20"/>
            </w:pPr>
            <w:r/>
            <w:r>
              <w:rPr>
                <w:rFonts w:ascii="Aptos" w:hAnsi="Aptos"/>
                <w:b w:val="0"/>
                <w:sz w:val="15"/>
              </w:rPr>
              <w:t>Per-rule pass/fail correctness; false-positive and false-negative counts.</w:t>
            </w:r>
          </w:p>
        </w:tc>
      </w:tr>
      <w:tr>
        <w:tc>
          <w:tcPr>
            <w:tcW w:type="dxa" w:w="1944"/>
            <w:vAlign w:val="center"/>
          </w:tcPr>
          <w:p>
            <w:pPr>
              <w:spacing w:after="20"/>
            </w:pPr>
            <w:r/>
            <w:r>
              <w:rPr>
                <w:rFonts w:ascii="Aptos" w:hAnsi="Aptos"/>
                <w:b w:val="0"/>
                <w:sz w:val="15"/>
              </w:rPr>
              <w:t>File integrity</w:t>
            </w:r>
          </w:p>
        </w:tc>
        <w:tc>
          <w:tcPr>
            <w:tcW w:type="dxa" w:w="4608"/>
            <w:vAlign w:val="center"/>
          </w:tcPr>
          <w:p>
            <w:pPr>
              <w:spacing w:after="20"/>
            </w:pPr>
            <w:r/>
            <w:r>
              <w:rPr>
                <w:rFonts w:ascii="Aptos" w:hAnsi="Aptos"/>
                <w:b w:val="0"/>
                <w:sz w:val="15"/>
              </w:rPr>
              <w:t>Upload file, recompute hash, mutate a copy, upload exact duplicate.</w:t>
            </w:r>
          </w:p>
        </w:tc>
        <w:tc>
          <w:tcPr>
            <w:tcW w:type="dxa" w:w="3384"/>
            <w:vAlign w:val="center"/>
          </w:tcPr>
          <w:p>
            <w:pPr>
              <w:spacing w:after="20"/>
            </w:pPr>
            <w:r/>
            <w:r>
              <w:rPr>
                <w:rFonts w:ascii="Aptos" w:hAnsi="Aptos"/>
                <w:b w:val="0"/>
                <w:sz w:val="15"/>
              </w:rPr>
              <w:t>Detection rate for changed/identical files in deterministic tests.</w:t>
            </w:r>
          </w:p>
        </w:tc>
      </w:tr>
      <w:tr>
        <w:tc>
          <w:tcPr>
            <w:tcW w:type="dxa" w:w="1944"/>
            <w:vAlign w:val="center"/>
            <w:shd w:fill="F1F6F8"/>
          </w:tcPr>
          <w:p>
            <w:pPr>
              <w:spacing w:after="20"/>
            </w:pPr>
            <w:r/>
            <w:r>
              <w:rPr>
                <w:rFonts w:ascii="Aptos" w:hAnsi="Aptos"/>
                <w:b w:val="0"/>
                <w:sz w:val="15"/>
              </w:rPr>
              <w:t>PDF signature validation</w:t>
            </w:r>
          </w:p>
        </w:tc>
        <w:tc>
          <w:tcPr>
            <w:tcW w:type="dxa" w:w="4608"/>
            <w:vAlign w:val="center"/>
            <w:shd w:fill="F1F6F8"/>
          </w:tcPr>
          <w:p>
            <w:pPr>
              <w:spacing w:after="20"/>
            </w:pPr>
            <w:r/>
            <w:r>
              <w:rPr>
                <w:rFonts w:ascii="Aptos" w:hAnsi="Aptos"/>
                <w:b w:val="0"/>
                <w:sz w:val="15"/>
              </w:rPr>
              <w:t>Use test PDFs with valid, invalid, unsupported and absent signatures.</w:t>
            </w:r>
          </w:p>
        </w:tc>
        <w:tc>
          <w:tcPr>
            <w:tcW w:type="dxa" w:w="3384"/>
            <w:vAlign w:val="center"/>
            <w:shd w:fill="F1F6F8"/>
          </w:tcPr>
          <w:p>
            <w:pPr>
              <w:spacing w:after="20"/>
            </w:pPr>
            <w:r/>
            <w:r>
              <w:rPr>
                <w:rFonts w:ascii="Aptos" w:hAnsi="Aptos"/>
                <w:b w:val="0"/>
                <w:sz w:val="15"/>
              </w:rPr>
              <w:t>Correct status classification by test case; clearly record trust configuration.</w:t>
            </w:r>
          </w:p>
        </w:tc>
      </w:tr>
      <w:tr>
        <w:tc>
          <w:tcPr>
            <w:tcW w:type="dxa" w:w="1944"/>
            <w:vAlign w:val="center"/>
          </w:tcPr>
          <w:p>
            <w:pPr>
              <w:spacing w:after="20"/>
            </w:pPr>
            <w:r/>
            <w:r>
              <w:rPr>
                <w:rFonts w:ascii="Aptos" w:hAnsi="Aptos"/>
                <w:b w:val="0"/>
                <w:sz w:val="15"/>
              </w:rPr>
              <w:t>Duplicate detection</w:t>
            </w:r>
          </w:p>
        </w:tc>
        <w:tc>
          <w:tcPr>
            <w:tcW w:type="dxa" w:w="4608"/>
            <w:vAlign w:val="center"/>
          </w:tcPr>
          <w:p>
            <w:pPr>
              <w:spacing w:after="20"/>
            </w:pPr>
            <w:r/>
            <w:r>
              <w:rPr>
                <w:rFonts w:ascii="Aptos" w:hAnsi="Aptos"/>
                <w:b w:val="0"/>
                <w:sz w:val="15"/>
              </w:rPr>
              <w:t>Create exact duplicates and controlled near-duplicate pairs.</w:t>
            </w:r>
          </w:p>
        </w:tc>
        <w:tc>
          <w:tcPr>
            <w:tcW w:type="dxa" w:w="3384"/>
            <w:vAlign w:val="center"/>
          </w:tcPr>
          <w:p>
            <w:pPr>
              <w:spacing w:after="20"/>
            </w:pPr>
            <w:r/>
            <w:r>
              <w:rPr>
                <w:rFonts w:ascii="Aptos" w:hAnsi="Aptos"/>
                <w:b w:val="0"/>
                <w:sz w:val="15"/>
              </w:rPr>
              <w:t>Precision, recall, F1 for labelled pairs; inspect false matches.</w:t>
            </w:r>
          </w:p>
        </w:tc>
      </w:tr>
      <w:tr>
        <w:tc>
          <w:tcPr>
            <w:tcW w:type="dxa" w:w="1944"/>
            <w:vAlign w:val="center"/>
            <w:shd w:fill="F1F6F8"/>
          </w:tcPr>
          <w:p>
            <w:pPr>
              <w:spacing w:after="20"/>
            </w:pPr>
            <w:r/>
            <w:r>
              <w:rPr>
                <w:rFonts w:ascii="Aptos" w:hAnsi="Aptos"/>
                <w:b w:val="0"/>
                <w:sz w:val="15"/>
              </w:rPr>
              <w:t>Workflow/security</w:t>
            </w:r>
          </w:p>
        </w:tc>
        <w:tc>
          <w:tcPr>
            <w:tcW w:type="dxa" w:w="4608"/>
            <w:vAlign w:val="center"/>
            <w:shd w:fill="F1F6F8"/>
          </w:tcPr>
          <w:p>
            <w:pPr>
              <w:spacing w:after="20"/>
            </w:pPr>
            <w:r/>
            <w:r>
              <w:rPr>
                <w:rFonts w:ascii="Aptos" w:hAnsi="Aptos"/>
                <w:b w:val="0"/>
                <w:sz w:val="15"/>
              </w:rPr>
              <w:t>Test unauthorised roles, cross-institution reads, direct URL access, invalid file types and prohibited state transitions.</w:t>
            </w:r>
          </w:p>
        </w:tc>
        <w:tc>
          <w:tcPr>
            <w:tcW w:type="dxa" w:w="3384"/>
            <w:vAlign w:val="center"/>
            <w:shd w:fill="F1F6F8"/>
          </w:tcPr>
          <w:p>
            <w:pPr>
              <w:spacing w:after="20"/>
            </w:pPr>
            <w:r/>
            <w:r>
              <w:rPr>
                <w:rFonts w:ascii="Aptos" w:hAnsi="Aptos"/>
                <w:b w:val="0"/>
                <w:sz w:val="15"/>
              </w:rPr>
              <w:t>Pass rate of explicit security acceptance tests; all critical access-control tests must pass.</w:t>
            </w:r>
          </w:p>
        </w:tc>
      </w:tr>
      <w:tr>
        <w:tc>
          <w:tcPr>
            <w:tcW w:type="dxa" w:w="1944"/>
            <w:vAlign w:val="center"/>
          </w:tcPr>
          <w:p>
            <w:pPr>
              <w:spacing w:after="20"/>
            </w:pPr>
            <w:r/>
            <w:r>
              <w:rPr>
                <w:rFonts w:ascii="Aptos" w:hAnsi="Aptos"/>
                <w:b w:val="0"/>
                <w:sz w:val="15"/>
              </w:rPr>
              <w:t>Maturity alerts</w:t>
            </w:r>
          </w:p>
        </w:tc>
        <w:tc>
          <w:tcPr>
            <w:tcW w:type="dxa" w:w="4608"/>
            <w:vAlign w:val="center"/>
          </w:tcPr>
          <w:p>
            <w:pPr>
              <w:spacing w:after="20"/>
            </w:pPr>
            <w:r/>
            <w:r>
              <w:rPr>
                <w:rFonts w:ascii="Aptos" w:hAnsi="Aptos"/>
                <w:b w:val="0"/>
                <w:sz w:val="15"/>
              </w:rPr>
              <w:t>Test dates at boundary conditions, time zones and state changes.</w:t>
            </w:r>
          </w:p>
        </w:tc>
        <w:tc>
          <w:tcPr>
            <w:tcW w:type="dxa" w:w="3384"/>
            <w:vAlign w:val="center"/>
          </w:tcPr>
          <w:p>
            <w:pPr>
              <w:spacing w:after="20"/>
            </w:pPr>
            <w:r/>
            <w:r>
              <w:rPr>
                <w:rFonts w:ascii="Aptos" w:hAnsi="Aptos"/>
                <w:b w:val="0"/>
                <w:sz w:val="15"/>
              </w:rPr>
              <w:t>Correct alert timing/status for each deterministic scenario.</w:t>
            </w:r>
          </w:p>
        </w:tc>
      </w:tr>
      <w:tr>
        <w:tc>
          <w:tcPr>
            <w:tcW w:type="dxa" w:w="1944"/>
            <w:vAlign w:val="center"/>
            <w:shd w:fill="F1F6F8"/>
          </w:tcPr>
          <w:p>
            <w:pPr>
              <w:spacing w:after="20"/>
            </w:pPr>
            <w:r/>
            <w:r>
              <w:rPr>
                <w:rFonts w:ascii="Aptos" w:hAnsi="Aptos"/>
                <w:b w:val="0"/>
                <w:sz w:val="15"/>
              </w:rPr>
              <w:t>Tampering model (if included)</w:t>
            </w:r>
          </w:p>
        </w:tc>
        <w:tc>
          <w:tcPr>
            <w:tcW w:type="dxa" w:w="4608"/>
            <w:vAlign w:val="center"/>
            <w:shd w:fill="F1F6F8"/>
          </w:tcPr>
          <w:p>
            <w:pPr>
              <w:spacing w:after="20"/>
            </w:pPr>
            <w:r/>
            <w:r>
              <w:rPr>
                <w:rFonts w:ascii="Aptos" w:hAnsi="Aptos"/>
                <w:b w:val="0"/>
                <w:sz w:val="15"/>
              </w:rPr>
              <w:t>Use an authorised benchmark with held-out evaluation; test domain-shift examples separately.</w:t>
            </w:r>
          </w:p>
        </w:tc>
        <w:tc>
          <w:tcPr>
            <w:tcW w:type="dxa" w:w="3384"/>
            <w:vAlign w:val="center"/>
            <w:shd w:fill="F1F6F8"/>
          </w:tcPr>
          <w:p>
            <w:pPr>
              <w:spacing w:after="20"/>
            </w:pPr>
            <w:r/>
            <w:r>
              <w:rPr>
                <w:rFonts w:ascii="Aptos" w:hAnsi="Aptos"/>
                <w:b w:val="0"/>
                <w:sz w:val="15"/>
              </w:rPr>
              <w:t>Precision, recall, F1, ROC-AUC where appropriate, calibration, false-positive review burden.</w:t>
            </w:r>
          </w:p>
        </w:tc>
      </w:tr>
    </w:tbl>
    <w:p/>
    <w:p>
      <w:r>
        <w:t>Avoid data leakage: keep near-duplicate or derivative images from the same original document in the same split. For a small demo, a transparent controlled test suite may be more defensible than training a poorly validated model.</w:t>
      </w:r>
    </w:p>
    <w:p>
      <w:pPr>
        <w:pStyle w:val="Heading1"/>
      </w:pPr>
      <w:r>
        <w:t>8. Security, privacy and governance requirements</w:t>
      </w:r>
    </w:p>
    <w:p>
      <w:pPr>
        <w:pStyle w:val="ListBullet"/>
        <w:spacing w:after="40"/>
      </w:pPr>
      <w:r>
        <w:t>Authentication: hash passwords using a recognised password-hashing algorithm; do not encrypt passwords reversibly.</w:t>
      </w:r>
    </w:p>
    <w:p>
      <w:pPr>
        <w:pStyle w:val="ListBullet"/>
        <w:spacing w:after="40"/>
      </w:pPr>
      <w:r>
        <w:t>Authorisation: separate institution users, reviewers and system administrators; enforce access control on every API endpoint and file download.</w:t>
      </w:r>
    </w:p>
    <w:p>
      <w:pPr>
        <w:pStyle w:val="ListBullet"/>
        <w:spacing w:after="40"/>
      </w:pPr>
      <w:r>
        <w:t>Tenant isolation: every institution-scoped query must enforce institution permissions server-side.</w:t>
      </w:r>
    </w:p>
    <w:p>
      <w:pPr>
        <w:pStyle w:val="ListBullet"/>
        <w:spacing w:after="40"/>
      </w:pPr>
      <w:r>
        <w:t>Upload safety: allowlist formats, validate file signatures, enforce size limits, use generated names, prevent path traversal, store outside public web root and scan where feasible.</w:t>
      </w:r>
    </w:p>
    <w:p>
      <w:pPr>
        <w:pStyle w:val="ListBullet"/>
        <w:spacing w:after="40"/>
      </w:pPr>
      <w:r>
        <w:t>Transport/storage: use HTTPS in deployment; protect stored documents and database backups according to the deployment environment; keep encryption keys separate from encrypted data.</w:t>
      </w:r>
    </w:p>
    <w:p>
      <w:pPr>
        <w:pStyle w:val="ListBullet"/>
        <w:spacing w:after="40"/>
      </w:pPr>
      <w:r>
        <w:t>Secrets: never commit credentials, tokens, production data or private keys; use environment secrets for development and a managed secret store where available.</w:t>
      </w:r>
    </w:p>
    <w:p>
      <w:pPr>
        <w:pStyle w:val="ListBullet"/>
        <w:spacing w:after="40"/>
      </w:pPr>
      <w:r>
        <w:t>Audit events: record uploads, document changes, verification runs, role changes, approval decisions, release transitions and denied access; do not log passwords, access tokens or encryption keys.</w:t>
      </w:r>
    </w:p>
    <w:p>
      <w:pPr>
        <w:pStyle w:val="ListBullet"/>
        <w:spacing w:after="40"/>
      </w:pPr>
      <w:r>
        <w:t>Workflow integrity: reject release actions when mandatory clearances are missing; test out-of-order and unauthorised state transitions.</w:t>
      </w:r>
    </w:p>
    <w:p>
      <w:pPr>
        <w:pStyle w:val="ListBullet"/>
        <w:spacing w:after="40"/>
      </w:pPr>
      <w:r>
        <w:t>Human oversight: ML or OCR findings should inform review, not independently approve/refuse a security-deposit release.</w:t>
      </w:r>
    </w:p>
    <w:p>
      <w:pPr>
        <w:pStyle w:val="ListBullet"/>
        <w:spacing w:after="40"/>
      </w:pPr>
      <w:r>
        <w:t>Data minimisation: use synthetic data for the demo; define retention and deletion rules before handling real records.</w:t>
      </w:r>
    </w:p>
    <w:p>
      <w:r>
        <w:t>Threats to test: cross-institution data leakage, unauthorised document download, malicious upload, file substitution, duplicate instrument records, audit-history manipulation, approval workflow bypass, and misleading display of simulated bank verification.</w:t>
      </w:r>
    </w:p>
    <w:p>
      <w:pPr>
        <w:pStyle w:val="Heading1"/>
      </w:pPr>
      <w:r>
        <w:t>9. Feasibility and team plan</w:t>
      </w:r>
    </w:p>
    <w:p>
      <w:r>
        <w:t>Given the short SIH submission timeline, the PPT and demo should focus on a thin but complete vertical slice. The longer-term research report can contain the wider roadmap, but the prototype must not imply all future integrations are already implemented.</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2304A"/>
          </w:tcPr>
          <w:p>
            <w:pPr>
              <w:spacing w:after="20"/>
            </w:pPr>
            <w:r/>
            <w:r>
              <w:rPr>
                <w:rFonts w:ascii="Aptos" w:hAnsi="Aptos"/>
                <w:b/>
                <w:color w:val="FFFFFF"/>
                <w:sz w:val="15"/>
              </w:rPr>
              <w:t>Workstream</w:t>
            </w:r>
          </w:p>
        </w:tc>
        <w:tc>
          <w:tcPr>
            <w:tcW w:type="dxa" w:w="2016"/>
            <w:vAlign w:val="center"/>
            <w:shd w:fill="12304A"/>
          </w:tcPr>
          <w:p>
            <w:pPr>
              <w:spacing w:after="20"/>
            </w:pPr>
            <w:r/>
            <w:r>
              <w:rPr>
                <w:rFonts w:ascii="Aptos" w:hAnsi="Aptos"/>
                <w:b/>
                <w:color w:val="FFFFFF"/>
                <w:sz w:val="15"/>
              </w:rPr>
              <w:t>Owner profile</w:t>
            </w:r>
          </w:p>
        </w:tc>
        <w:tc>
          <w:tcPr>
            <w:tcW w:type="dxa" w:w="5472"/>
            <w:vAlign w:val="center"/>
            <w:shd w:fill="12304A"/>
          </w:tcPr>
          <w:p>
            <w:pPr>
              <w:spacing w:after="20"/>
            </w:pPr>
            <w:r/>
            <w:r>
              <w:rPr>
                <w:rFonts w:ascii="Aptos" w:hAnsi="Aptos"/>
                <w:b/>
                <w:color w:val="FFFFFF"/>
                <w:sz w:val="15"/>
              </w:rPr>
              <w:t>Near-term deliverable</w:t>
            </w:r>
          </w:p>
        </w:tc>
      </w:tr>
      <w:tr>
        <w:tc>
          <w:tcPr>
            <w:tcW w:type="dxa" w:w="2448"/>
            <w:vAlign w:val="center"/>
          </w:tcPr>
          <w:p>
            <w:pPr>
              <w:spacing w:after="20"/>
            </w:pPr>
            <w:r/>
            <w:r>
              <w:rPr>
                <w:rFonts w:ascii="Aptos" w:hAnsi="Aptos"/>
                <w:b w:val="0"/>
                <w:sz w:val="15"/>
              </w:rPr>
              <w:t>Process/policy research + rules</w:t>
            </w:r>
          </w:p>
        </w:tc>
        <w:tc>
          <w:tcPr>
            <w:tcW w:type="dxa" w:w="2016"/>
            <w:vAlign w:val="center"/>
          </w:tcPr>
          <w:p>
            <w:pPr>
              <w:spacing w:after="20"/>
            </w:pPr>
            <w:r/>
            <w:r>
              <w:rPr>
                <w:rFonts w:ascii="Aptos" w:hAnsi="Aptos"/>
                <w:b w:val="0"/>
                <w:sz w:val="15"/>
              </w:rPr>
              <w:t>Member A</w:t>
            </w:r>
          </w:p>
        </w:tc>
        <w:tc>
          <w:tcPr>
            <w:tcW w:type="dxa" w:w="5472"/>
            <w:vAlign w:val="center"/>
          </w:tcPr>
          <w:p>
            <w:pPr>
              <w:spacing w:after="20"/>
            </w:pPr>
            <w:r/>
            <w:r>
              <w:rPr>
                <w:rFonts w:ascii="Aptos" w:hAnsi="Aptos"/>
                <w:b w:val="0"/>
                <w:sz w:val="15"/>
              </w:rPr>
              <w:t>Requirement-to-source matrix; policy caveats; workflow states and acceptance tests.</w:t>
            </w:r>
          </w:p>
        </w:tc>
      </w:tr>
      <w:tr>
        <w:tc>
          <w:tcPr>
            <w:tcW w:type="dxa" w:w="2448"/>
            <w:vAlign w:val="center"/>
            <w:shd w:fill="F1F6F8"/>
          </w:tcPr>
          <w:p>
            <w:pPr>
              <w:spacing w:after="20"/>
            </w:pPr>
            <w:r/>
            <w:r>
              <w:rPr>
                <w:rFonts w:ascii="Aptos" w:hAnsi="Aptos"/>
                <w:b w:val="0"/>
                <w:sz w:val="15"/>
              </w:rPr>
              <w:t>Backend/security/data model</w:t>
            </w:r>
          </w:p>
        </w:tc>
        <w:tc>
          <w:tcPr>
            <w:tcW w:type="dxa" w:w="2016"/>
            <w:vAlign w:val="center"/>
            <w:shd w:fill="F1F6F8"/>
          </w:tcPr>
          <w:p>
            <w:pPr>
              <w:spacing w:after="20"/>
            </w:pPr>
            <w:r/>
            <w:r>
              <w:rPr>
                <w:rFonts w:ascii="Aptos" w:hAnsi="Aptos"/>
                <w:b w:val="0"/>
                <w:sz w:val="15"/>
              </w:rPr>
              <w:t>Member B</w:t>
            </w:r>
          </w:p>
        </w:tc>
        <w:tc>
          <w:tcPr>
            <w:tcW w:type="dxa" w:w="5472"/>
            <w:vAlign w:val="center"/>
            <w:shd w:fill="F1F6F8"/>
          </w:tcPr>
          <w:p>
            <w:pPr>
              <w:spacing w:after="20"/>
            </w:pPr>
            <w:r/>
            <w:r>
              <w:rPr>
                <w:rFonts w:ascii="Aptos" w:hAnsi="Aptos"/>
                <w:b w:val="0"/>
                <w:sz w:val="15"/>
              </w:rPr>
              <w:t>FDR records, roles, safe upload, hash/version records, rules API, audit events.</w:t>
            </w:r>
          </w:p>
        </w:tc>
      </w:tr>
      <w:tr>
        <w:tc>
          <w:tcPr>
            <w:tcW w:type="dxa" w:w="2448"/>
            <w:vAlign w:val="center"/>
          </w:tcPr>
          <w:p>
            <w:pPr>
              <w:spacing w:after="20"/>
            </w:pPr>
            <w:r/>
            <w:r>
              <w:rPr>
                <w:rFonts w:ascii="Aptos" w:hAnsi="Aptos"/>
                <w:b w:val="0"/>
                <w:sz w:val="15"/>
              </w:rPr>
              <w:t>Frontend/demo/evaluation</w:t>
            </w:r>
          </w:p>
        </w:tc>
        <w:tc>
          <w:tcPr>
            <w:tcW w:type="dxa" w:w="2016"/>
            <w:vAlign w:val="center"/>
          </w:tcPr>
          <w:p>
            <w:pPr>
              <w:spacing w:after="20"/>
            </w:pPr>
            <w:r/>
            <w:r>
              <w:rPr>
                <w:rFonts w:ascii="Aptos" w:hAnsi="Aptos"/>
                <w:b w:val="0"/>
                <w:sz w:val="15"/>
              </w:rPr>
              <w:t>Member C</w:t>
            </w:r>
          </w:p>
        </w:tc>
        <w:tc>
          <w:tcPr>
            <w:tcW w:type="dxa" w:w="5472"/>
            <w:vAlign w:val="center"/>
          </w:tcPr>
          <w:p>
            <w:pPr>
              <w:spacing w:after="20"/>
            </w:pPr>
            <w:r/>
            <w:r>
              <w:rPr>
                <w:rFonts w:ascii="Aptos" w:hAnsi="Aptos"/>
                <w:b w:val="0"/>
                <w:sz w:val="15"/>
              </w:rPr>
              <w:t>Submission/review screens, evidence dossier, maturity dashboard, test scenarios and demo script.</w:t>
            </w:r>
          </w:p>
        </w:tc>
      </w:tr>
    </w:tbl>
    <w:p/>
    <w:p>
      <w:pPr>
        <w:pStyle w:val="Heading2"/>
      </w:pPr>
      <w:r>
        <w:t>Suggested implementation order</w:t>
      </w:r>
    </w:p>
    <w:p>
      <w:pPr>
        <w:pStyle w:val="ListNumber"/>
        <w:spacing w:after="40"/>
      </w:pPr>
      <w:r>
        <w:t>Confirm PS1 wording and map every stated requirement to a feature and source.</w:t>
      </w:r>
    </w:p>
    <w:p>
      <w:pPr>
        <w:pStyle w:val="ListNumber"/>
        <w:spacing w:after="40"/>
      </w:pPr>
      <w:r>
        <w:t>Create schema, roles, workflow states and testable acceptance criteria.</w:t>
      </w:r>
    </w:p>
    <w:p>
      <w:pPr>
        <w:pStyle w:val="ListNumber"/>
        <w:spacing w:after="40"/>
      </w:pPr>
      <w:r>
        <w:t>Build the core instrument record and lifecycle workflow with synthetic data.</w:t>
      </w:r>
    </w:p>
    <w:p>
      <w:pPr>
        <w:pStyle w:val="ListNumber"/>
        <w:spacing w:after="40"/>
      </w:pPr>
      <w:r>
        <w:t>Implement secure upload, SHA-256 hash, version history and exact duplicate checks.</w:t>
      </w:r>
    </w:p>
    <w:p>
      <w:pPr>
        <w:pStyle w:val="ListNumber"/>
        <w:spacing w:after="40"/>
      </w:pPr>
      <w:r>
        <w:t>Implement selected field extraction and cross-document consistency checks.</w:t>
      </w:r>
    </w:p>
    <w:p>
      <w:pPr>
        <w:pStyle w:val="ListNumber"/>
        <w:spacing w:after="40"/>
      </w:pPr>
      <w:r>
        <w:t>Add supported PDF signature validation only if sample test PDFs and library support are available.</w:t>
      </w:r>
    </w:p>
    <w:p>
      <w:pPr>
        <w:pStyle w:val="ListNumber"/>
        <w:spacing w:after="40"/>
      </w:pPr>
      <w:r>
        <w:t>Build the evidence dossier and make simulated/manual/live bank-verification modes unmistakably distinct.</w:t>
      </w:r>
    </w:p>
    <w:p>
      <w:pPr>
        <w:pStyle w:val="ListNumber"/>
        <w:spacing w:after="40"/>
      </w:pPr>
      <w:r>
        <w:t>Run functional and security tests; document actual results and unresolved limitations.</w:t>
      </w:r>
    </w:p>
    <w:p>
      <w:pPr>
        <w:pStyle w:val="ListNumber"/>
        <w:spacing w:after="40"/>
      </w:pPr>
      <w:r>
        <w:t>Prepare the six-slide deck and short demo from the verified implementation.</w:t>
      </w:r>
    </w:p>
    <w:p>
      <w:pPr>
        <w:pStyle w:val="Heading1"/>
      </w:pPr>
      <w:r>
        <w:t>10. Risks, limitations and open questions</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12304A"/>
          </w:tcPr>
          <w:p>
            <w:pPr>
              <w:spacing w:after="20"/>
            </w:pPr>
            <w:r/>
            <w:r>
              <w:rPr>
                <w:rFonts w:ascii="Aptos" w:hAnsi="Aptos"/>
                <w:b/>
                <w:color w:val="FFFFFF"/>
                <w:sz w:val="15"/>
              </w:rPr>
              <w:t>Risk/open question</w:t>
            </w:r>
          </w:p>
        </w:tc>
        <w:tc>
          <w:tcPr>
            <w:tcW w:type="dxa" w:w="3240"/>
            <w:vAlign w:val="center"/>
            <w:shd w:fill="12304A"/>
          </w:tcPr>
          <w:p>
            <w:pPr>
              <w:spacing w:after="20"/>
            </w:pPr>
            <w:r/>
            <w:r>
              <w:rPr>
                <w:rFonts w:ascii="Aptos" w:hAnsi="Aptos"/>
                <w:b/>
                <w:color w:val="FFFFFF"/>
                <w:sz w:val="15"/>
              </w:rPr>
              <w:t>Why it matters</w:t>
            </w:r>
          </w:p>
        </w:tc>
        <w:tc>
          <w:tcPr>
            <w:tcW w:type="dxa" w:w="4248"/>
            <w:vAlign w:val="center"/>
            <w:shd w:fill="12304A"/>
          </w:tcPr>
          <w:p>
            <w:pPr>
              <w:spacing w:after="20"/>
            </w:pPr>
            <w:r/>
            <w:r>
              <w:rPr>
                <w:rFonts w:ascii="Aptos" w:hAnsi="Aptos"/>
                <w:b/>
                <w:color w:val="FFFFFF"/>
                <w:sz w:val="15"/>
              </w:rPr>
              <w:t>Action</w:t>
            </w:r>
          </w:p>
        </w:tc>
      </w:tr>
      <w:tr>
        <w:tc>
          <w:tcPr>
            <w:tcW w:type="dxa" w:w="2304"/>
            <w:vAlign w:val="center"/>
          </w:tcPr>
          <w:p>
            <w:pPr>
              <w:spacing w:after="20"/>
            </w:pPr>
            <w:r/>
            <w:r>
              <w:rPr>
                <w:rFonts w:ascii="Aptos" w:hAnsi="Aptos"/>
                <w:b w:val="0"/>
                <w:sz w:val="15"/>
              </w:rPr>
              <w:t>Current portal capabilities not fully known</w:t>
            </w:r>
          </w:p>
        </w:tc>
        <w:tc>
          <w:tcPr>
            <w:tcW w:type="dxa" w:w="3240"/>
            <w:vAlign w:val="center"/>
          </w:tcPr>
          <w:p>
            <w:pPr>
              <w:spacing w:after="20"/>
            </w:pPr>
            <w:r/>
            <w:r>
              <w:rPr>
                <w:rFonts w:ascii="Aptos" w:hAnsi="Aptos"/>
                <w:b w:val="0"/>
                <w:sz w:val="15"/>
              </w:rPr>
              <w:t>We may duplicate an existing feature or misstate the gap.</w:t>
            </w:r>
          </w:p>
        </w:tc>
        <w:tc>
          <w:tcPr>
            <w:tcW w:type="dxa" w:w="4248"/>
            <w:vAlign w:val="center"/>
          </w:tcPr>
          <w:p>
            <w:pPr>
              <w:spacing w:after="20"/>
            </w:pPr>
            <w:r/>
            <w:r>
              <w:rPr>
                <w:rFonts w:ascii="Aptos" w:hAnsi="Aptos"/>
                <w:b w:val="0"/>
                <w:sz w:val="15"/>
              </w:rPr>
              <w:t>Review current official documentation and request clarification where possible.</w:t>
            </w:r>
          </w:p>
        </w:tc>
      </w:tr>
      <w:tr>
        <w:tc>
          <w:tcPr>
            <w:tcW w:type="dxa" w:w="2304"/>
            <w:vAlign w:val="center"/>
            <w:shd w:fill="F1F6F8"/>
          </w:tcPr>
          <w:p>
            <w:pPr>
              <w:spacing w:after="20"/>
            </w:pPr>
            <w:r/>
            <w:r>
              <w:rPr>
                <w:rFonts w:ascii="Aptos" w:hAnsi="Aptos"/>
                <w:b w:val="0"/>
                <w:sz w:val="15"/>
              </w:rPr>
              <w:t>No FDR-specific public dataset identified</w:t>
            </w:r>
          </w:p>
        </w:tc>
        <w:tc>
          <w:tcPr>
            <w:tcW w:type="dxa" w:w="3240"/>
            <w:vAlign w:val="center"/>
            <w:shd w:fill="F1F6F8"/>
          </w:tcPr>
          <w:p>
            <w:pPr>
              <w:spacing w:after="20"/>
            </w:pPr>
            <w:r/>
            <w:r>
              <w:rPr>
                <w:rFonts w:ascii="Aptos" w:hAnsi="Aptos"/>
                <w:b w:val="0"/>
                <w:sz w:val="15"/>
              </w:rPr>
              <w:t>Cannot claim model performance on real FDRs.</w:t>
            </w:r>
          </w:p>
        </w:tc>
        <w:tc>
          <w:tcPr>
            <w:tcW w:type="dxa" w:w="4248"/>
            <w:vAlign w:val="center"/>
            <w:shd w:fill="F1F6F8"/>
          </w:tcPr>
          <w:p>
            <w:pPr>
              <w:spacing w:after="20"/>
            </w:pPr>
            <w:r/>
            <w:r>
              <w:rPr>
                <w:rFonts w:ascii="Aptos" w:hAnsi="Aptos"/>
                <w:b w:val="0"/>
                <w:sz w:val="15"/>
              </w:rPr>
              <w:t>Use synthetic data for workflow; use public benchmarks only for component research.</w:t>
            </w:r>
          </w:p>
        </w:tc>
      </w:tr>
      <w:tr>
        <w:tc>
          <w:tcPr>
            <w:tcW w:type="dxa" w:w="2304"/>
            <w:vAlign w:val="center"/>
          </w:tcPr>
          <w:p>
            <w:pPr>
              <w:spacing w:after="20"/>
            </w:pPr>
            <w:r/>
            <w:r>
              <w:rPr>
                <w:rFonts w:ascii="Aptos" w:hAnsi="Aptos"/>
                <w:b w:val="0"/>
                <w:sz w:val="15"/>
              </w:rPr>
              <w:t>Bank API/portal access unknown</w:t>
            </w:r>
          </w:p>
        </w:tc>
        <w:tc>
          <w:tcPr>
            <w:tcW w:type="dxa" w:w="3240"/>
            <w:vAlign w:val="center"/>
          </w:tcPr>
          <w:p>
            <w:pPr>
              <w:spacing w:after="20"/>
            </w:pPr>
            <w:r/>
            <w:r>
              <w:rPr>
                <w:rFonts w:ascii="Aptos" w:hAnsi="Aptos"/>
                <w:b w:val="0"/>
                <w:sz w:val="15"/>
              </w:rPr>
              <w:t>Live bank confirmation may be impossible in prototype.</w:t>
            </w:r>
          </w:p>
        </w:tc>
        <w:tc>
          <w:tcPr>
            <w:tcW w:type="dxa" w:w="4248"/>
            <w:vAlign w:val="center"/>
          </w:tcPr>
          <w:p>
            <w:pPr>
              <w:spacing w:after="20"/>
            </w:pPr>
            <w:r/>
            <w:r>
              <w:rPr>
                <w:rFonts w:ascii="Aptos" w:hAnsi="Aptos"/>
                <w:b w:val="0"/>
                <w:sz w:val="15"/>
              </w:rPr>
              <w:t>Design an adapter; use manual or labelled simulated mode until authorised access exists.</w:t>
            </w:r>
          </w:p>
        </w:tc>
      </w:tr>
      <w:tr>
        <w:tc>
          <w:tcPr>
            <w:tcW w:type="dxa" w:w="2304"/>
            <w:vAlign w:val="center"/>
            <w:shd w:fill="F1F6F8"/>
          </w:tcPr>
          <w:p>
            <w:pPr>
              <w:spacing w:after="20"/>
            </w:pPr>
            <w:r/>
            <w:r>
              <w:rPr>
                <w:rFonts w:ascii="Aptos" w:hAnsi="Aptos"/>
                <w:b w:val="0"/>
                <w:sz w:val="15"/>
              </w:rPr>
              <w:t>Document forensic domain shift</w:t>
            </w:r>
          </w:p>
        </w:tc>
        <w:tc>
          <w:tcPr>
            <w:tcW w:type="dxa" w:w="3240"/>
            <w:vAlign w:val="center"/>
            <w:shd w:fill="F1F6F8"/>
          </w:tcPr>
          <w:p>
            <w:pPr>
              <w:spacing w:after="20"/>
            </w:pPr>
            <w:r/>
            <w:r>
              <w:rPr>
                <w:rFonts w:ascii="Aptos" w:hAnsi="Aptos"/>
                <w:b w:val="0"/>
                <w:sz w:val="15"/>
              </w:rPr>
              <w:t>A model trained on generic documents may fail on FDRs.</w:t>
            </w:r>
          </w:p>
        </w:tc>
        <w:tc>
          <w:tcPr>
            <w:tcW w:type="dxa" w:w="4248"/>
            <w:vAlign w:val="center"/>
            <w:shd w:fill="F1F6F8"/>
          </w:tcPr>
          <w:p>
            <w:pPr>
              <w:spacing w:after="20"/>
            </w:pPr>
            <w:r/>
            <w:r>
              <w:rPr>
                <w:rFonts w:ascii="Aptos" w:hAnsi="Aptos"/>
                <w:b w:val="0"/>
                <w:sz w:val="15"/>
              </w:rPr>
              <w:t>Test domain transfer; present as assistive flag only.</w:t>
            </w:r>
          </w:p>
        </w:tc>
      </w:tr>
      <w:tr>
        <w:tc>
          <w:tcPr>
            <w:tcW w:type="dxa" w:w="2304"/>
            <w:vAlign w:val="center"/>
          </w:tcPr>
          <w:p>
            <w:pPr>
              <w:spacing w:after="20"/>
            </w:pPr>
            <w:r/>
            <w:r>
              <w:rPr>
                <w:rFonts w:ascii="Aptos" w:hAnsi="Aptos"/>
                <w:b w:val="0"/>
                <w:sz w:val="15"/>
              </w:rPr>
              <w:t>Policy version changes</w:t>
            </w:r>
          </w:p>
        </w:tc>
        <w:tc>
          <w:tcPr>
            <w:tcW w:type="dxa" w:w="3240"/>
            <w:vAlign w:val="center"/>
          </w:tcPr>
          <w:p>
            <w:pPr>
              <w:spacing w:after="20"/>
            </w:pPr>
            <w:r/>
            <w:r>
              <w:rPr>
                <w:rFonts w:ascii="Aptos" w:hAnsi="Aptos"/>
                <w:b w:val="0"/>
                <w:sz w:val="15"/>
              </w:rPr>
              <w:t>Incorrect rules could block or wrongly permit release.</w:t>
            </w:r>
          </w:p>
        </w:tc>
        <w:tc>
          <w:tcPr>
            <w:tcW w:type="dxa" w:w="4248"/>
            <w:vAlign w:val="center"/>
          </w:tcPr>
          <w:p>
            <w:pPr>
              <w:spacing w:after="20"/>
            </w:pPr>
            <w:r/>
            <w:r>
              <w:rPr>
                <w:rFonts w:ascii="Aptos" w:hAnsi="Aptos"/>
                <w:b w:val="0"/>
                <w:sz w:val="15"/>
              </w:rPr>
              <w:t>Version rule configuration and confirm applicable handbook before deployment.</w:t>
            </w:r>
          </w:p>
        </w:tc>
      </w:tr>
      <w:tr>
        <w:tc>
          <w:tcPr>
            <w:tcW w:type="dxa" w:w="2304"/>
            <w:vAlign w:val="center"/>
            <w:shd w:fill="F1F6F8"/>
          </w:tcPr>
          <w:p>
            <w:pPr>
              <w:spacing w:after="20"/>
            </w:pPr>
            <w:r/>
            <w:r>
              <w:rPr>
                <w:rFonts w:ascii="Aptos" w:hAnsi="Aptos"/>
                <w:b w:val="0"/>
                <w:sz w:val="15"/>
              </w:rPr>
              <w:t>Privacy/security obligations</w:t>
            </w:r>
          </w:p>
        </w:tc>
        <w:tc>
          <w:tcPr>
            <w:tcW w:type="dxa" w:w="3240"/>
            <w:vAlign w:val="center"/>
            <w:shd w:fill="F1F6F8"/>
          </w:tcPr>
          <w:p>
            <w:pPr>
              <w:spacing w:after="20"/>
            </w:pPr>
            <w:r/>
            <w:r>
              <w:rPr>
                <w:rFonts w:ascii="Aptos" w:hAnsi="Aptos"/>
                <w:b w:val="0"/>
                <w:sz w:val="15"/>
              </w:rPr>
              <w:t>Financial and institutional records may be sensitive.</w:t>
            </w:r>
          </w:p>
        </w:tc>
        <w:tc>
          <w:tcPr>
            <w:tcW w:type="dxa" w:w="4248"/>
            <w:vAlign w:val="center"/>
            <w:shd w:fill="F1F6F8"/>
          </w:tcPr>
          <w:p>
            <w:pPr>
              <w:spacing w:after="20"/>
            </w:pPr>
            <w:r/>
            <w:r>
              <w:rPr>
                <w:rFonts w:ascii="Aptos" w:hAnsi="Aptos"/>
                <w:b w:val="0"/>
                <w:sz w:val="15"/>
              </w:rPr>
              <w:t>Use synthetic data and design least-privilege access, secure storage and retention controls.</w:t>
            </w:r>
          </w:p>
        </w:tc>
      </w:tr>
      <w:tr>
        <w:tc>
          <w:tcPr>
            <w:tcW w:type="dxa" w:w="2304"/>
            <w:vAlign w:val="center"/>
          </w:tcPr>
          <w:p>
            <w:pPr>
              <w:spacing w:after="20"/>
            </w:pPr>
            <w:r/>
            <w:r>
              <w:rPr>
                <w:rFonts w:ascii="Aptos" w:hAnsi="Aptos"/>
                <w:b w:val="0"/>
                <w:sz w:val="15"/>
              </w:rPr>
              <w:t>Over-scoping</w:t>
            </w:r>
          </w:p>
        </w:tc>
        <w:tc>
          <w:tcPr>
            <w:tcW w:type="dxa" w:w="3240"/>
            <w:vAlign w:val="center"/>
          </w:tcPr>
          <w:p>
            <w:pPr>
              <w:spacing w:after="20"/>
            </w:pPr>
            <w:r/>
            <w:r>
              <w:rPr>
                <w:rFonts w:ascii="Aptos" w:hAnsi="Aptos"/>
                <w:b w:val="0"/>
                <w:sz w:val="15"/>
              </w:rPr>
              <w:t>A wide feature list can lead to a shallow demo.</w:t>
            </w:r>
          </w:p>
        </w:tc>
        <w:tc>
          <w:tcPr>
            <w:tcW w:type="dxa" w:w="4248"/>
            <w:vAlign w:val="center"/>
          </w:tcPr>
          <w:p>
            <w:pPr>
              <w:spacing w:after="20"/>
            </w:pPr>
            <w:r/>
            <w:r>
              <w:rPr>
                <w:rFonts w:ascii="Aptos" w:hAnsi="Aptos"/>
                <w:b w:val="0"/>
                <w:sz w:val="15"/>
              </w:rPr>
              <w:t>Prioritise a working evidence-verification vertical slice; list advanced ML/integrations as future work.</w:t>
            </w:r>
          </w:p>
        </w:tc>
      </w:tr>
    </w:tbl>
    <w:p/>
    <w:p>
      <w:pPr>
        <w:pStyle w:val="Heading2"/>
      </w:pPr>
      <w:r>
        <w:t>Questions to resolve before finalising the PPT</w:t>
      </w:r>
    </w:p>
    <w:p>
      <w:pPr>
        <w:pStyle w:val="ListBullet"/>
        <w:spacing w:after="40"/>
      </w:pPr>
      <w:r>
        <w:t>Can the current AICTE portal be inspected through public pages or an authorised demo account?</w:t>
      </w:r>
    </w:p>
    <w:p>
      <w:pPr>
        <w:pStyle w:val="ListBullet"/>
        <w:spacing w:after="40"/>
      </w:pPr>
      <w:r>
        <w:t>Is there a newer RFP, process manual or technical specification that supersedes the JFDR section?</w:t>
      </w:r>
    </w:p>
    <w:p>
      <w:pPr>
        <w:pStyle w:val="ListBullet"/>
        <w:spacing w:after="40"/>
      </w:pPr>
      <w:r>
        <w:t>What exact FDR fields and instrument categories does PS1 expect to cover?</w:t>
      </w:r>
    </w:p>
    <w:p>
      <w:pPr>
        <w:pStyle w:val="ListBullet"/>
        <w:spacing w:after="40"/>
      </w:pPr>
      <w:r>
        <w:t>Is any bank/issuing-authority verification mechanism explicitly available to AICTE?</w:t>
      </w:r>
    </w:p>
    <w:p>
      <w:pPr>
        <w:pStyle w:val="ListBullet"/>
        <w:spacing w:after="40"/>
      </w:pPr>
      <w:r>
        <w:t>What are the judging criteria and any constraints on technologies, data or deployment?</w:t>
      </w:r>
    </w:p>
    <w:p>
      <w:pPr>
        <w:pStyle w:val="ListBullet"/>
        <w:spacing w:after="40"/>
      </w:pPr>
      <w:r>
        <w:t>Can the team access suitable public benchmark data under a licence compatible with the intended demo?</w:t>
      </w:r>
    </w:p>
    <w:p>
      <w:pPr>
        <w:pStyle w:val="Heading1"/>
      </w:pPr>
      <w:r>
        <w:t>11. Reference register</w:t>
      </w:r>
    </w:p>
    <w:p>
      <w:r>
        <w:t>The following references are grouped by evidence type. Official process sources should lead the PPT. Academic papers support technical choices; standards and implementation documentation support engineering controls. Dataset links must be checked for licence and access terms before use.</w:t>
      </w:r>
    </w:p>
    <w:p>
      <w:pPr>
        <w:spacing w:after="40"/>
      </w:pPr>
      <w:r>
        <w:rPr>
          <w:b/>
        </w:rPr>
        <w:t xml:space="preserve">R1 — AICTE e-Governance RFP, Tender No. AICTE/e-Gov/NEW-SYSTEMS/272; Section 7.2.2 JFDR; official primary source. </w:t>
      </w:r>
      <w:hyperlink r:id="rId11">
        <w:r>
          <w:rPr>
            <w:color w:val="0563C1"/>
            <w:u w:val="single"/>
          </w:rPr>
          <w:t>https://aicte.gov.in/sites/default/files/RFPeGov.pdf</w:t>
        </w:r>
      </w:hyperlink>
    </w:p>
    <w:p>
      <w:pPr>
        <w:spacing w:after="120"/>
        <w:ind w:left="317"/>
      </w:pPr>
      <w:r>
        <w:t>Use for documented online matured-FD refund process, stakeholder checks, supporting documents, deficiency/resubmission and status tracking.</w:t>
      </w:r>
    </w:p>
    <w:p>
      <w:pPr>
        <w:spacing w:after="40"/>
      </w:pPr>
      <w:r>
        <w:rPr>
          <w:b/>
        </w:rPr>
        <w:t xml:space="preserve">R2 — AICTE Approval Process Handbook 2024–2027; Section 6.46, Release of Security Deposit; official primary source. </w:t>
      </w:r>
      <w:hyperlink r:id="rId12">
        <w:r>
          <w:rPr>
            <w:color w:val="0563C1"/>
            <w:u w:val="single"/>
          </w:rPr>
          <w:t>https://www.aicte.gov.in/sites/default/files/APH%20Final.pdf</w:t>
        </w:r>
      </w:hyperlink>
    </w:p>
    <w:p>
      <w:pPr>
        <w:spacing w:after="120"/>
        <w:ind w:left="317"/>
      </w:pPr>
      <w:r>
        <w:t>Use for current handbook's listed release documents and required clearances; re-confirm applicability before implementation.</w:t>
      </w:r>
    </w:p>
    <w:p>
      <w:pPr>
        <w:spacing w:after="40"/>
      </w:pPr>
      <w:r>
        <w:rPr>
          <w:b/>
        </w:rPr>
        <w:t xml:space="preserve">R3 — AICTE Approval Process Handbook (revised; older version), bank-manager certificate format. </w:t>
      </w:r>
      <w:hyperlink r:id="rId13">
        <w:r>
          <w:rPr>
            <w:color w:val="0563C1"/>
            <w:u w:val="single"/>
          </w:rPr>
          <w:t>https://aicte.gov.in/sites/default/files/Approval%20Process%20Handbook%20-%20Revised.pdf</w:t>
        </w:r>
      </w:hyperlink>
    </w:p>
    <w:p>
      <w:pPr>
        <w:spacing w:after="120"/>
        <w:ind w:left="317"/>
      </w:pPr>
      <w:r>
        <w:t>Historical context for FDR fields, authenticity and encumbrance certificate; do not use as sole evidence of current process.</w:t>
      </w:r>
    </w:p>
    <w:p>
      <w:pPr>
        <w:spacing w:after="40"/>
      </w:pPr>
      <w:r>
        <w:rPr>
          <w:b/>
        </w:rPr>
        <w:t xml:space="preserve">R4 — Qu, C. et al. (2023). 'Towards Robust Tampered Text Detection in Document Image: New Dataset and New Solution.' Proceedings of CVPR 2023, pp. 5937–5946. </w:t>
      </w:r>
      <w:hyperlink r:id="rId14">
        <w:r>
          <w:rPr>
            <w:color w:val="0563C1"/>
            <w:u w:val="single"/>
          </w:rPr>
          <w:t>https://openaccess.thecvf.com/content/CVPR2023/html/Qu_Towards_Robust_Tampered_Text_Detection_in_Document_Image_New_Dataset_CVPR_2023_paper.html</w:t>
        </w:r>
      </w:hyperlink>
    </w:p>
    <w:p>
      <w:pPr>
        <w:spacing w:after="120"/>
        <w:ind w:left="317"/>
      </w:pPr>
      <w:r>
        <w:t>Research on DTD/DocTamper; domain transfer and licence constraints must be considered.</w:t>
      </w:r>
    </w:p>
    <w:p>
      <w:pPr>
        <w:spacing w:after="40"/>
      </w:pPr>
      <w:r>
        <w:rPr>
          <w:b/>
        </w:rPr>
        <w:t xml:space="preserve">R5 — Official DocTamper code/data repository. </w:t>
      </w:r>
      <w:hyperlink r:id="rId15">
        <w:r>
          <w:rPr>
            <w:color w:val="0563C1"/>
            <w:u w:val="single"/>
          </w:rPr>
          <w:t>https://github.com/qcf-568/DocTamper</w:t>
        </w:r>
      </w:hyperlink>
    </w:p>
    <w:p>
      <w:pPr>
        <w:spacing w:after="120"/>
        <w:ind w:left="317"/>
      </w:pPr>
      <w:r>
        <w:t>Repository describes access requirements and non-commercial use constraints; check current terms before download/use.</w:t>
      </w:r>
    </w:p>
    <w:p>
      <w:pPr>
        <w:spacing w:after="40"/>
      </w:pPr>
      <w:r>
        <w:rPr>
          <w:b/>
        </w:rPr>
        <w:t xml:space="preserve">R6 — He, Y. et al. 'FinCriticalED: A Visual Benchmark for Financial Fact-Level OCR Evaluation.' arXiv:2511.14998. </w:t>
      </w:r>
      <w:hyperlink r:id="rId16">
        <w:r>
          <w:rPr>
            <w:color w:val="0563C1"/>
            <w:u w:val="single"/>
          </w:rPr>
          <w:t>https://arxiv.org/abs/2511.14998</w:t>
        </w:r>
      </w:hyperlink>
    </w:p>
    <w:p>
      <w:pPr>
        <w:spacing w:after="120"/>
        <w:ind w:left="317"/>
      </w:pPr>
      <w:r>
        <w:t>Financial fact-level OCR benchmark; inspect paper and current dataset terms.</w:t>
      </w:r>
    </w:p>
    <w:p>
      <w:pPr>
        <w:spacing w:after="40"/>
      </w:pPr>
      <w:r>
        <w:rPr>
          <w:b/>
        </w:rPr>
        <w:t xml:space="preserve">R7 — FinCriticalED repository. </w:t>
      </w:r>
      <w:hyperlink r:id="rId17">
        <w:r>
          <w:rPr>
            <w:color w:val="0563C1"/>
            <w:u w:val="single"/>
          </w:rPr>
          <w:t>https://github.com/The-FinAI/FinCriticalED</w:t>
        </w:r>
      </w:hyperlink>
    </w:p>
    <w:p>
      <w:pPr>
        <w:spacing w:after="120"/>
        <w:ind w:left="317"/>
      </w:pPr>
      <w:r>
        <w:t>Project README describes 859 financial pages and 9,481 expert-annotated facts; verify licence/access for actual data.</w:t>
      </w:r>
    </w:p>
    <w:p>
      <w:pPr>
        <w:spacing w:after="40"/>
      </w:pPr>
      <w:r>
        <w:rPr>
          <w:b/>
        </w:rPr>
        <w:t xml:space="preserve">R8 — IEEE Xplore, 'A Multi-Modal Approach to Automated Financial Document Forgery Detection Using CNN and Semantic Validation' (2026), DOI 10.1109/ICDCA69396.2026.11620092. </w:t>
      </w:r>
      <w:hyperlink r:id="rId26">
        <w:r>
          <w:rPr>
            <w:color w:val="0563C1"/>
            <w:u w:val="single"/>
          </w:rPr>
          <w:t>https://xplorestaging.ieee.org/document/11620092/</w:t>
        </w:r>
      </w:hyperlink>
    </w:p>
    <w:p>
      <w:pPr>
        <w:spacing w:after="120"/>
        <w:ind w:left="317"/>
      </w:pPr>
      <w:r>
        <w:t>Potentially relevant hybrid visual/OCR/semantic design; reported results belong to the authors' invoice benchmark, not our project.</w:t>
      </w:r>
    </w:p>
    <w:p>
      <w:pPr>
        <w:spacing w:after="40"/>
      </w:pPr>
      <w:r>
        <w:rPr>
          <w:b/>
        </w:rPr>
        <w:t xml:space="preserve">R9 — pyHanko documentation, PDF signature validation. </w:t>
      </w:r>
      <w:hyperlink r:id="rId19">
        <w:r>
          <w:rPr>
            <w:color w:val="0563C1"/>
            <w:u w:val="single"/>
          </w:rPr>
          <w:t>https://docs.pyhanko.eu/en/latest/cli-guide/validation.html</w:t>
        </w:r>
      </w:hyperlink>
    </w:p>
    <w:p>
      <w:pPr>
        <w:spacing w:after="120"/>
        <w:ind w:left="317"/>
      </w:pPr>
      <w:r>
        <w:t>Implementation guidance for supported PDF signatures and trust-aware validation.</w:t>
      </w:r>
    </w:p>
    <w:p>
      <w:pPr>
        <w:spacing w:after="40"/>
      </w:pPr>
      <w:r>
        <w:rPr>
          <w:b/>
        </w:rPr>
        <w:t xml:space="preserve">R10 — NIST FIPS 180-4, Secure Hash Standard. </w:t>
      </w:r>
      <w:hyperlink r:id="rId20">
        <w:r>
          <w:rPr>
            <w:color w:val="0563C1"/>
            <w:u w:val="single"/>
          </w:rPr>
          <w:t>https://csrc.nist.gov/pubs/fips/180-4/upd1/final</w:t>
        </w:r>
      </w:hyperlink>
    </w:p>
    <w:p>
      <w:pPr>
        <w:spacing w:after="120"/>
        <w:ind w:left="317"/>
      </w:pPr>
      <w:r>
        <w:t>Authoritative reference for secure hash algorithms and change detection.</w:t>
      </w:r>
    </w:p>
    <w:p>
      <w:pPr>
        <w:spacing w:after="40"/>
      </w:pPr>
      <w:r>
        <w:rPr>
          <w:b/>
        </w:rPr>
        <w:t xml:space="preserve">R11 — NIST SHA-256 glossary. </w:t>
      </w:r>
      <w:hyperlink r:id="rId21">
        <w:r>
          <w:rPr>
            <w:color w:val="0563C1"/>
            <w:u w:val="single"/>
          </w:rPr>
          <w:t>https://csrc.nist.gov/glossary/term/SHA_256</w:t>
        </w:r>
      </w:hyperlink>
    </w:p>
    <w:p>
      <w:pPr>
        <w:spacing w:after="120"/>
        <w:ind w:left="317"/>
      </w:pPr>
      <w:r>
        <w:t>Concise official definition of SHA-256's digest/change-detection role.</w:t>
      </w:r>
    </w:p>
    <w:p>
      <w:pPr>
        <w:spacing w:after="40"/>
      </w:pPr>
      <w:r>
        <w:rPr>
          <w:b/>
        </w:rPr>
        <w:t xml:space="preserve">R12 — OWASP File Upload Cheat Sheet. </w:t>
      </w:r>
      <w:hyperlink r:id="rId22">
        <w:r>
          <w:rPr>
            <w:color w:val="0563C1"/>
            <w:u w:val="single"/>
          </w:rPr>
          <w:t>https://cheatsheetseries.owasp.org/cheatsheets/File_Upload_Cheat_Sheet.html</w:t>
        </w:r>
      </w:hyperlink>
    </w:p>
    <w:p>
      <w:pPr>
        <w:spacing w:after="120"/>
        <w:ind w:left="317"/>
      </w:pPr>
      <w:r>
        <w:t>Secure upload validation, filename handling, size limits, authorisation and safe storage.</w:t>
      </w:r>
    </w:p>
    <w:p>
      <w:pPr>
        <w:spacing w:after="40"/>
      </w:pPr>
      <w:r>
        <w:rPr>
          <w:b/>
        </w:rPr>
        <w:t xml:space="preserve">R13 — OWASP Logging Cheat Sheet. </w:t>
      </w:r>
      <w:hyperlink r:id="rId23">
        <w:r>
          <w:rPr>
            <w:color w:val="0563C1"/>
            <w:u w:val="single"/>
          </w:rPr>
          <w:t>https://cheatsheetseries.owasp.org/cheatsheets/Logging_Cheat_Sheet.html</w:t>
        </w:r>
      </w:hyperlink>
    </w:p>
    <w:p>
      <w:pPr>
        <w:spacing w:after="120"/>
        <w:ind w:left="317"/>
      </w:pPr>
      <w:r>
        <w:t>Security event logging, access restrictions and handling of sensitive data in logs.</w:t>
      </w:r>
    </w:p>
    <w:p>
      <w:pPr>
        <w:spacing w:after="40"/>
      </w:pPr>
      <w:r>
        <w:rPr>
          <w:b/>
        </w:rPr>
        <w:t xml:space="preserve">R14 — Government of India, Digital Personal Data Protection Act, 2023; MeitY official PDF. </w:t>
      </w:r>
      <w:hyperlink r:id="rId24">
        <w:r>
          <w:rPr>
            <w:color w:val="0563C1"/>
            <w:u w:val="single"/>
          </w:rPr>
          <w:t>https://www.meity.gov.in/writereaddata/files/Digital%20Personal%20Data%20Protection%20Act%202023.pdf</w:t>
        </w:r>
      </w:hyperlink>
    </w:p>
    <w:p>
      <w:pPr>
        <w:spacing w:after="120"/>
        <w:ind w:left="317"/>
      </w:pPr>
      <w:r>
        <w:t>Legal context; read with applicable commencement notifications/rules.</w:t>
      </w:r>
    </w:p>
    <w:p>
      <w:pPr>
        <w:spacing w:after="40"/>
      </w:pPr>
      <w:r>
        <w:rPr>
          <w:b/>
        </w:rPr>
        <w:t xml:space="preserve">R15 — MeitY notification, 13 November 2025, commencement provisions for the DPDP Act. </w:t>
      </w:r>
      <w:hyperlink r:id="rId25">
        <w:r>
          <w:rPr>
            <w:color w:val="0563C1"/>
            <w:u w:val="single"/>
          </w:rPr>
          <w:t>https://www.meity.gov.in/static/uploads/2025/11/c56ceae6c383460ca69577428d36828b.pdf</w:t>
        </w:r>
      </w:hyperlink>
    </w:p>
    <w:p>
      <w:pPr>
        <w:spacing w:after="120"/>
        <w:ind w:left="317"/>
      </w:pPr>
      <w:r>
        <w:t>Shows staged commencement; check current legal status and rules at deployment time.</w:t>
      </w:r>
    </w:p>
    <w:p>
      <w:pPr>
        <w:pStyle w:val="Heading1"/>
      </w:pPr>
      <w:r>
        <w:t>12. PPT-ready synthesis for the six required slides</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12304A"/>
          </w:tcPr>
          <w:p>
            <w:pPr>
              <w:spacing w:after="20"/>
            </w:pPr>
            <w:r/>
            <w:r>
              <w:rPr>
                <w:rFonts w:ascii="Aptos" w:hAnsi="Aptos"/>
                <w:b/>
                <w:color w:val="FFFFFF"/>
                <w:sz w:val="15"/>
              </w:rPr>
              <w:t>Slide</w:t>
            </w:r>
          </w:p>
        </w:tc>
        <w:tc>
          <w:tcPr>
            <w:tcW w:type="dxa" w:w="4680"/>
            <w:vAlign w:val="center"/>
            <w:shd w:fill="12304A"/>
          </w:tcPr>
          <w:p>
            <w:pPr>
              <w:spacing w:after="20"/>
            </w:pPr>
            <w:r/>
            <w:r>
              <w:rPr>
                <w:rFonts w:ascii="Aptos" w:hAnsi="Aptos"/>
                <w:b/>
                <w:color w:val="FFFFFF"/>
                <w:sz w:val="15"/>
              </w:rPr>
              <w:t>Evidence-backed content to extract later</w:t>
            </w:r>
          </w:p>
        </w:tc>
        <w:tc>
          <w:tcPr>
            <w:tcW w:type="dxa" w:w="3312"/>
            <w:vAlign w:val="center"/>
            <w:shd w:fill="12304A"/>
          </w:tcPr>
          <w:p>
            <w:pPr>
              <w:spacing w:after="20"/>
            </w:pPr>
            <w:r/>
            <w:r>
              <w:rPr>
                <w:rFonts w:ascii="Aptos" w:hAnsi="Aptos"/>
                <w:b/>
                <w:color w:val="FFFFFF"/>
                <w:sz w:val="15"/>
              </w:rPr>
              <w:t>Do not claim</w:t>
            </w:r>
          </w:p>
        </w:tc>
      </w:tr>
      <w:tr>
        <w:tc>
          <w:tcPr>
            <w:tcW w:type="dxa" w:w="1872"/>
            <w:vAlign w:val="center"/>
          </w:tcPr>
          <w:p>
            <w:pPr>
              <w:spacing w:after="20"/>
            </w:pPr>
            <w:r/>
            <w:r>
              <w:rPr>
                <w:rFonts w:ascii="Aptos" w:hAnsi="Aptos"/>
                <w:b w:val="0"/>
                <w:sz w:val="15"/>
              </w:rPr>
              <w:t>1. Title</w:t>
            </w:r>
          </w:p>
        </w:tc>
        <w:tc>
          <w:tcPr>
            <w:tcW w:type="dxa" w:w="4680"/>
            <w:vAlign w:val="center"/>
          </w:tcPr>
          <w:p>
            <w:pPr>
              <w:spacing w:after="20"/>
            </w:pPr>
            <w:r/>
            <w:r>
              <w:rPr>
                <w:rFonts w:ascii="Aptos" w:hAnsi="Aptos"/>
                <w:b w:val="0"/>
                <w:sz w:val="15"/>
              </w:rPr>
              <w:t>Project name + team details only, per submission format.</w:t>
            </w:r>
          </w:p>
        </w:tc>
        <w:tc>
          <w:tcPr>
            <w:tcW w:type="dxa" w:w="3312"/>
            <w:vAlign w:val="center"/>
          </w:tcPr>
          <w:p>
            <w:pPr>
              <w:spacing w:after="20"/>
            </w:pPr>
            <w:r/>
            <w:r>
              <w:rPr>
                <w:rFonts w:ascii="Aptos" w:hAnsi="Aptos"/>
                <w:b w:val="0"/>
                <w:sz w:val="15"/>
              </w:rPr>
              <w:t>Unverified endorsements or affiliations.</w:t>
            </w:r>
          </w:p>
        </w:tc>
      </w:tr>
      <w:tr>
        <w:tc>
          <w:tcPr>
            <w:tcW w:type="dxa" w:w="1872"/>
            <w:vAlign w:val="center"/>
            <w:shd w:fill="F1F6F8"/>
          </w:tcPr>
          <w:p>
            <w:pPr>
              <w:spacing w:after="20"/>
            </w:pPr>
            <w:r/>
            <w:r>
              <w:rPr>
                <w:rFonts w:ascii="Aptos" w:hAnsi="Aptos"/>
                <w:b w:val="0"/>
                <w:sz w:val="15"/>
              </w:rPr>
              <w:t>2. Problem / solution / uniqueness</w:t>
            </w:r>
          </w:p>
        </w:tc>
        <w:tc>
          <w:tcPr>
            <w:tcW w:type="dxa" w:w="4680"/>
            <w:vAlign w:val="center"/>
            <w:shd w:fill="F1F6F8"/>
          </w:tcPr>
          <w:p>
            <w:pPr>
              <w:spacing w:after="20"/>
            </w:pPr>
            <w:r/>
            <w:r>
              <w:rPr>
                <w:rFonts w:ascii="Aptos" w:hAnsi="Aptos"/>
                <w:b w:val="0"/>
                <w:sz w:val="15"/>
              </w:rPr>
              <w:t>Officially documented FDR refund workflow; required clearances; proposed evidence-linked instrument verification and lifecycle layer.</w:t>
            </w:r>
          </w:p>
        </w:tc>
        <w:tc>
          <w:tcPr>
            <w:tcW w:type="dxa" w:w="3312"/>
            <w:vAlign w:val="center"/>
            <w:shd w:fill="F1F6F8"/>
          </w:tcPr>
          <w:p>
            <w:pPr>
              <w:spacing w:after="20"/>
            </w:pPr>
            <w:r/>
            <w:r>
              <w:rPr>
                <w:rFonts w:ascii="Aptos" w:hAnsi="Aptos"/>
                <w:b w:val="0"/>
                <w:sz w:val="15"/>
              </w:rPr>
              <w:t>That AICTE has no online portal/tracking or that all current checks are manual.</w:t>
            </w:r>
          </w:p>
        </w:tc>
      </w:tr>
      <w:tr>
        <w:tc>
          <w:tcPr>
            <w:tcW w:type="dxa" w:w="1872"/>
            <w:vAlign w:val="center"/>
          </w:tcPr>
          <w:p>
            <w:pPr>
              <w:spacing w:after="20"/>
            </w:pPr>
            <w:r/>
            <w:r>
              <w:rPr>
                <w:rFonts w:ascii="Aptos" w:hAnsi="Aptos"/>
                <w:b w:val="0"/>
                <w:sz w:val="15"/>
              </w:rPr>
              <w:t>3. Technical approach</w:t>
            </w:r>
          </w:p>
        </w:tc>
        <w:tc>
          <w:tcPr>
            <w:tcW w:type="dxa" w:w="4680"/>
            <w:vAlign w:val="center"/>
          </w:tcPr>
          <w:p>
            <w:pPr>
              <w:spacing w:after="20"/>
            </w:pPr>
            <w:r/>
            <w:r>
              <w:rPr>
                <w:rFonts w:ascii="Aptos" w:hAnsi="Aptos"/>
                <w:b w:val="0"/>
                <w:sz w:val="15"/>
              </w:rPr>
              <w:t>Architecture: secure intake → hash/versioning → OCR/field checks → signature validation where supported → rule checks → review dossier → authorised workflow.</w:t>
            </w:r>
          </w:p>
        </w:tc>
        <w:tc>
          <w:tcPr>
            <w:tcW w:type="dxa" w:w="3312"/>
            <w:vAlign w:val="center"/>
          </w:tcPr>
          <w:p>
            <w:pPr>
              <w:spacing w:after="20"/>
            </w:pPr>
            <w:r/>
            <w:r>
              <w:rPr>
                <w:rFonts w:ascii="Aptos" w:hAnsi="Aptos"/>
                <w:b w:val="0"/>
                <w:sz w:val="15"/>
              </w:rPr>
              <w:t>A bank API, ML model or production security control that is not actually implemented.</w:t>
            </w:r>
          </w:p>
        </w:tc>
      </w:tr>
      <w:tr>
        <w:tc>
          <w:tcPr>
            <w:tcW w:type="dxa" w:w="1872"/>
            <w:vAlign w:val="center"/>
            <w:shd w:fill="F1F6F8"/>
          </w:tcPr>
          <w:p>
            <w:pPr>
              <w:spacing w:after="20"/>
            </w:pPr>
            <w:r/>
            <w:r>
              <w:rPr>
                <w:rFonts w:ascii="Aptos" w:hAnsi="Aptos"/>
                <w:b w:val="0"/>
                <w:sz w:val="15"/>
              </w:rPr>
              <w:t>4. Impact / benefits</w:t>
            </w:r>
          </w:p>
        </w:tc>
        <w:tc>
          <w:tcPr>
            <w:tcW w:type="dxa" w:w="4680"/>
            <w:vAlign w:val="center"/>
            <w:shd w:fill="F1F6F8"/>
          </w:tcPr>
          <w:p>
            <w:pPr>
              <w:spacing w:after="20"/>
            </w:pPr>
            <w:r/>
            <w:r>
              <w:rPr>
                <w:rFonts w:ascii="Aptos" w:hAnsi="Aptos"/>
                <w:b w:val="0"/>
                <w:sz w:val="15"/>
              </w:rPr>
              <w:t>Expected benefits: easier evidence review, clearer deficiencies, traceable checks, maturity visibility; measure only after tests/pilot.</w:t>
            </w:r>
          </w:p>
        </w:tc>
        <w:tc>
          <w:tcPr>
            <w:tcW w:type="dxa" w:w="3312"/>
            <w:vAlign w:val="center"/>
            <w:shd w:fill="F1F6F8"/>
          </w:tcPr>
          <w:p>
            <w:pPr>
              <w:spacing w:after="20"/>
            </w:pPr>
            <w:r/>
            <w:r>
              <w:rPr>
                <w:rFonts w:ascii="Aptos" w:hAnsi="Aptos"/>
                <w:b w:val="0"/>
                <w:sz w:val="15"/>
              </w:rPr>
              <w:t>Unsupported percentages, time savings or fraud-detection rates.</w:t>
            </w:r>
          </w:p>
        </w:tc>
      </w:tr>
      <w:tr>
        <w:tc>
          <w:tcPr>
            <w:tcW w:type="dxa" w:w="1872"/>
            <w:vAlign w:val="center"/>
          </w:tcPr>
          <w:p>
            <w:pPr>
              <w:spacing w:after="20"/>
            </w:pPr>
            <w:r/>
            <w:r>
              <w:rPr>
                <w:rFonts w:ascii="Aptos" w:hAnsi="Aptos"/>
                <w:b w:val="0"/>
                <w:sz w:val="15"/>
              </w:rPr>
              <w:t>5. Feasibility / viability</w:t>
            </w:r>
          </w:p>
        </w:tc>
        <w:tc>
          <w:tcPr>
            <w:tcW w:type="dxa" w:w="4680"/>
            <w:vAlign w:val="center"/>
          </w:tcPr>
          <w:p>
            <w:pPr>
              <w:spacing w:after="20"/>
            </w:pPr>
            <w:r/>
            <w:r>
              <w:rPr>
                <w:rFonts w:ascii="Aptos" w:hAnsi="Aptos"/>
                <w:b w:val="0"/>
                <w:sz w:val="15"/>
              </w:rPr>
              <w:t>Synthetic-data prototype; modular architecture; public component benchmarks; explicit access/licence limitations; future authorised integrations.</w:t>
            </w:r>
          </w:p>
        </w:tc>
        <w:tc>
          <w:tcPr>
            <w:tcW w:type="dxa" w:w="3312"/>
            <w:vAlign w:val="center"/>
          </w:tcPr>
          <w:p>
            <w:pPr>
              <w:spacing w:after="20"/>
            </w:pPr>
            <w:r/>
            <w:r>
              <w:rPr>
                <w:rFonts w:ascii="Aptos" w:hAnsi="Aptos"/>
                <w:b w:val="0"/>
                <w:sz w:val="15"/>
              </w:rPr>
              <w:t>That synthetic-data results prove real-world effectiveness.</w:t>
            </w:r>
          </w:p>
        </w:tc>
      </w:tr>
      <w:tr>
        <w:tc>
          <w:tcPr>
            <w:tcW w:type="dxa" w:w="1872"/>
            <w:vAlign w:val="center"/>
            <w:shd w:fill="F1F6F8"/>
          </w:tcPr>
          <w:p>
            <w:pPr>
              <w:spacing w:after="20"/>
            </w:pPr>
            <w:r/>
            <w:r>
              <w:rPr>
                <w:rFonts w:ascii="Aptos" w:hAnsi="Aptos"/>
                <w:b w:val="0"/>
                <w:sz w:val="15"/>
              </w:rPr>
              <w:t>6. Research / references</w:t>
            </w:r>
          </w:p>
        </w:tc>
        <w:tc>
          <w:tcPr>
            <w:tcW w:type="dxa" w:w="4680"/>
            <w:vAlign w:val="center"/>
            <w:shd w:fill="F1F6F8"/>
          </w:tcPr>
          <w:p>
            <w:pPr>
              <w:spacing w:after="20"/>
            </w:pPr>
            <w:r/>
            <w:r>
              <w:rPr>
                <w:rFonts w:ascii="Aptos" w:hAnsi="Aptos"/>
                <w:b w:val="0"/>
                <w:sz w:val="15"/>
              </w:rPr>
              <w:t>R1/R2 first, then CVPR/DocTamper, FinCriticalED, IEEE literature, NIST, OWASP and applicable privacy sources.</w:t>
            </w:r>
          </w:p>
        </w:tc>
        <w:tc>
          <w:tcPr>
            <w:tcW w:type="dxa" w:w="3312"/>
            <w:vAlign w:val="center"/>
            <w:shd w:fill="F1F6F8"/>
          </w:tcPr>
          <w:p>
            <w:pPr>
              <w:spacing w:after="20"/>
            </w:pPr>
            <w:r/>
            <w:r>
              <w:rPr>
                <w:rFonts w:ascii="Aptos" w:hAnsi="Aptos"/>
                <w:b w:val="0"/>
                <w:sz w:val="15"/>
              </w:rPr>
              <w:t>Reference dumping without explaining how each source informs a design choice.</w:t>
            </w:r>
          </w:p>
        </w:tc>
      </w:tr>
    </w:tbl>
    <w:p/>
    <w:p>
      <w:pPr>
        <w:pStyle w:val="Heading1"/>
      </w:pPr>
      <w:r>
        <w:t>Conclusion</w:t>
      </w:r>
    </w:p>
    <w:p>
      <w:r>
        <w:t>The evidence supports a precise starting point: AICTE has documented an online matured-FD refund process with status tracking and multi-stakeholder verification, while the Approval Process Handbook specifies documents and clearances for release. Our proposed innovation should complement—not misrepresent or blindly replace—that process. The most defensible technical direction is a secure, evidence-linked FDR lifecycle assurance layer, with explicit separation between file integrity, digital-signature status, OCR consistency, bank confirmation and authorised release decisions.</w:t>
      </w:r>
    </w:p>
    <w:p>
      <w:r>
        <w:t>Before claiming a gap, investigate the current deployed portal and any newer specifications. Before claiming AI performance, evaluate the model on suitable labelled data. Before claiming bank confirmation, establish an authorised real verification route. This standard of evidence will make the final six-slide PPT stronger and more credible.</w:t>
      </w:r>
    </w:p>
    <w:p>
      <w:r>
        <w:br w:type="page"/>
      </w:r>
    </w:p>
    <w:p>
      <w:pPr>
        <w:pStyle w:val="Heading1"/>
      </w:pPr>
      <w:r>
        <w:t>13. Survey completion update — existing systems, verification options and defensible project gap</w:t>
      </w:r>
    </w:p>
    <w:p>
      <w:r>
        <w:t>Update date: 26 October 2026. This section adds a final focused desk-research pass to the original survey. It distinguishes official requirements, publicly documented commercial capabilities, technical research, and questions that remain unverified. It is not an audit of AICTE's authenticated live portal.</w:t>
      </w:r>
    </w:p>
    <w:p>
      <w:pPr>
        <w:pStyle w:val="Heading2"/>
      </w:pPr>
      <w:r>
        <w:t>13.1 Executive answer: does an existing system already exist?</w:t>
      </w:r>
    </w:p>
    <w:p>
      <w:r>
        <w:t>Yes. AICTE's e-Governance RFP explicitly documents the JFDR process: an online application for refund of matured fixed deposits, supporting-document upload, checks of institutional eligibility and FD maturity, verification by Regional Office (RO), Vigilance and HQ cells, deficiency/resubmission handling, and application status tracking. This is direct primary-source evidence. Therefore, DepositGuard must not be described as the first online FDR-refund portal, the first status-tracking facility, or a replacement for a process that is supposedly entirely paper-based.</w:t>
      </w:r>
    </w:p>
    <w:p>
      <w:r>
        <w:t>The AICTE Approval Process Handbook 2024–2027, Section 6.46, separately specifies documents and clearances for release of FDR/RTGS. It says relevant PGRC, Vigilance and other cells/bureaus must provide clearance; an NOC or sanction order follows the applicable process. It also identifies cases in which an outstanding issue with a government body or bank can block release. This means a technical prototype must represent policy checks and authorised human decisions explicitly. Passing an OCR, hash, or ML check must never trigger release automatically.</w:t>
      </w:r>
    </w:p>
    <w:p>
      <w:pPr>
        <w:pStyle w:val="Heading2"/>
      </w:pPr>
      <w:r>
        <w:t>13.2 What is established versus not established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C6E0B4"/>
          </w:tcPr>
          <w:p>
            <w:r>
              <w:t>Question / capability</w:t>
            </w:r>
          </w:p>
        </w:tc>
        <w:tc>
          <w:tcPr>
            <w:tcW w:type="dxa" w:w="2498"/>
            <w:shd w:fill="C6E0B4"/>
          </w:tcPr>
          <w:p>
            <w:r>
              <w:t>Evidence status</w:t>
            </w:r>
          </w:p>
        </w:tc>
        <w:tc>
          <w:tcPr>
            <w:tcW w:type="dxa" w:w="2498"/>
            <w:shd w:fill="C6E0B4"/>
          </w:tcPr>
          <w:p>
            <w:r>
              <w:t>What we can say</w:t>
            </w:r>
          </w:p>
        </w:tc>
        <w:tc>
          <w:tcPr>
            <w:tcW w:type="dxa" w:w="2498"/>
            <w:shd w:fill="C6E0B4"/>
          </w:tcPr>
          <w:p>
            <w:r>
              <w:t>What we must not claim</w:t>
            </w:r>
          </w:p>
        </w:tc>
      </w:tr>
      <w:tr>
        <w:tc>
          <w:tcPr>
            <w:tcW w:type="dxa" w:w="2498"/>
            <w:vAlign w:val="center"/>
          </w:tcPr>
          <w:p>
            <w:r>
              <w:t>Online FDR refund application</w:t>
            </w:r>
          </w:p>
        </w:tc>
        <w:tc>
          <w:tcPr>
            <w:tcW w:type="dxa" w:w="2498"/>
            <w:vAlign w:val="center"/>
          </w:tcPr>
          <w:p>
            <w:r>
              <w:t>Established by AICTE RFP</w:t>
            </w:r>
          </w:p>
        </w:tc>
        <w:tc>
          <w:tcPr>
            <w:tcW w:type="dxa" w:w="2498"/>
            <w:vAlign w:val="center"/>
          </w:tcPr>
          <w:p>
            <w:r>
              <w:t>AICTE documents an online JFDR application process.</w:t>
            </w:r>
          </w:p>
        </w:tc>
        <w:tc>
          <w:tcPr>
            <w:tcW w:type="dxa" w:w="2498"/>
            <w:vAlign w:val="center"/>
          </w:tcPr>
          <w:p>
            <w:r>
              <w:t>That AICTE has no online portal.</w:t>
            </w:r>
          </w:p>
        </w:tc>
      </w:tr>
      <w:tr>
        <w:tc>
          <w:tcPr>
            <w:tcW w:type="dxa" w:w="2498"/>
            <w:vAlign w:val="center"/>
          </w:tcPr>
          <w:p>
            <w:r>
              <w:t>Document upload and review</w:t>
            </w:r>
          </w:p>
        </w:tc>
        <w:tc>
          <w:tcPr>
            <w:tcW w:type="dxa" w:w="2498"/>
            <w:vAlign w:val="center"/>
          </w:tcPr>
          <w:p>
            <w:r>
              <w:t>Established by AICTE RFP and handbook</w:t>
            </w:r>
          </w:p>
        </w:tc>
        <w:tc>
          <w:tcPr>
            <w:tcW w:type="dxa" w:w="2498"/>
            <w:vAlign w:val="center"/>
          </w:tcPr>
          <w:p>
            <w:r>
              <w:t>Supporting documents and multi-cell review are part of the documented workflow.</w:t>
            </w:r>
          </w:p>
        </w:tc>
        <w:tc>
          <w:tcPr>
            <w:tcW w:type="dxa" w:w="2498"/>
            <w:vAlign w:val="center"/>
          </w:tcPr>
          <w:p>
            <w:r>
              <w:t>That all review is manual or all review is automated.</w:t>
            </w:r>
          </w:p>
        </w:tc>
      </w:tr>
      <w:tr>
        <w:tc>
          <w:tcPr>
            <w:tcW w:type="dxa" w:w="2498"/>
            <w:vAlign w:val="center"/>
          </w:tcPr>
          <w:p>
            <w:r>
              <w:t>Application status tracking</w:t>
            </w:r>
          </w:p>
        </w:tc>
        <w:tc>
          <w:tcPr>
            <w:tcW w:type="dxa" w:w="2498"/>
            <w:vAlign w:val="center"/>
          </w:tcPr>
          <w:p>
            <w:r>
              <w:t>Established by AICTE RFP</w:t>
            </w:r>
          </w:p>
        </w:tc>
        <w:tc>
          <w:tcPr>
            <w:tcW w:type="dxa" w:w="2498"/>
            <w:vAlign w:val="center"/>
          </w:tcPr>
          <w:p>
            <w:r>
              <w:t>The RFP explicitly says institutions can track application progress.</w:t>
            </w:r>
          </w:p>
        </w:tc>
        <w:tc>
          <w:tcPr>
            <w:tcW w:type="dxa" w:w="2498"/>
            <w:vAlign w:val="center"/>
          </w:tcPr>
          <w:p>
            <w:r>
              <w:t>That tracking is absent.</w:t>
            </w:r>
          </w:p>
        </w:tc>
      </w:tr>
      <w:tr>
        <w:tc>
          <w:tcPr>
            <w:tcW w:type="dxa" w:w="2498"/>
            <w:vAlign w:val="center"/>
          </w:tcPr>
          <w:p>
            <w:r>
              <w:t>Maturity/eligibility checks</w:t>
            </w:r>
          </w:p>
        </w:tc>
        <w:tc>
          <w:tcPr>
            <w:tcW w:type="dxa" w:w="2498"/>
            <w:vAlign w:val="center"/>
          </w:tcPr>
          <w:p>
            <w:r>
              <w:t>Established as process steps</w:t>
            </w:r>
          </w:p>
        </w:tc>
        <w:tc>
          <w:tcPr>
            <w:tcW w:type="dxa" w:w="2498"/>
            <w:vAlign w:val="center"/>
          </w:tcPr>
          <w:p>
            <w:r>
              <w:t>FD maturity and institutional eligibility are checked before refund approval.</w:t>
            </w:r>
          </w:p>
        </w:tc>
        <w:tc>
          <w:tcPr>
            <w:tcW w:type="dxa" w:w="2498"/>
            <w:vAlign w:val="center"/>
          </w:tcPr>
          <w:p>
            <w:r>
              <w:t>That the current live portal has a particular maturity-alert feature.</w:t>
            </w:r>
          </w:p>
        </w:tc>
      </w:tr>
      <w:tr>
        <w:tc>
          <w:tcPr>
            <w:tcW w:type="dxa" w:w="2498"/>
            <w:vAlign w:val="center"/>
          </w:tcPr>
          <w:p>
            <w:r>
              <w:t>OCR and cross-document comparison</w:t>
            </w:r>
          </w:p>
        </w:tc>
        <w:tc>
          <w:tcPr>
            <w:tcW w:type="dxa" w:w="2498"/>
            <w:vAlign w:val="center"/>
          </w:tcPr>
          <w:p>
            <w:r>
              <w:t>Not established in sources reviewed</w:t>
            </w:r>
          </w:p>
        </w:tc>
        <w:tc>
          <w:tcPr>
            <w:tcW w:type="dxa" w:w="2498"/>
            <w:vAlign w:val="center"/>
          </w:tcPr>
          <w:p>
            <w:r>
              <w:t>A potential feature to investigate and prototype.</w:t>
            </w:r>
          </w:p>
        </w:tc>
        <w:tc>
          <w:tcPr>
            <w:tcW w:type="dxa" w:w="2498"/>
            <w:vAlign w:val="center"/>
          </w:tcPr>
          <w:p>
            <w:r>
              <w:t>That the live portal definitely lacks OCR.</w:t>
            </w:r>
          </w:p>
        </w:tc>
      </w:tr>
      <w:tr>
        <w:tc>
          <w:tcPr>
            <w:tcW w:type="dxa" w:w="2498"/>
            <w:vAlign w:val="center"/>
          </w:tcPr>
          <w:p>
            <w:r>
              <w:t>SHA-256 upload/file version checks</w:t>
            </w:r>
          </w:p>
        </w:tc>
        <w:tc>
          <w:tcPr>
            <w:tcW w:type="dxa" w:w="2498"/>
            <w:vAlign w:val="center"/>
          </w:tcPr>
          <w:p>
            <w:r>
              <w:t>Not established in sources reviewed</w:t>
            </w:r>
          </w:p>
        </w:tc>
        <w:tc>
          <w:tcPr>
            <w:tcW w:type="dxa" w:w="2498"/>
            <w:vAlign w:val="center"/>
          </w:tcPr>
          <w:p>
            <w:r>
              <w:t>A defensible integrity control for a new prototype.</w:t>
            </w:r>
          </w:p>
        </w:tc>
        <w:tc>
          <w:tcPr>
            <w:tcW w:type="dxa" w:w="2498"/>
            <w:vAlign w:val="center"/>
          </w:tcPr>
          <w:p>
            <w:r>
              <w:t>That AICTE has no integrity controls.</w:t>
            </w:r>
          </w:p>
        </w:tc>
      </w:tr>
      <w:tr>
        <w:tc>
          <w:tcPr>
            <w:tcW w:type="dxa" w:w="2498"/>
            <w:vAlign w:val="center"/>
          </w:tcPr>
          <w:p>
            <w:r>
              <w:t>PDF digital-signature validation</w:t>
            </w:r>
          </w:p>
        </w:tc>
        <w:tc>
          <w:tcPr>
            <w:tcW w:type="dxa" w:w="2498"/>
            <w:vAlign w:val="center"/>
          </w:tcPr>
          <w:p>
            <w:r>
              <w:t>Not established in sources reviewed</w:t>
            </w:r>
          </w:p>
        </w:tc>
        <w:tc>
          <w:tcPr>
            <w:tcW w:type="dxa" w:w="2498"/>
            <w:vAlign w:val="center"/>
          </w:tcPr>
          <w:p>
            <w:r>
              <w:t>A conditional check for documents that actually contain supported signatures.</w:t>
            </w:r>
          </w:p>
        </w:tc>
        <w:tc>
          <w:tcPr>
            <w:tcW w:type="dxa" w:w="2498"/>
            <w:vAlign w:val="center"/>
          </w:tcPr>
          <w:p>
            <w:r>
              <w:t>That every FDR PDF is digitally signed or that no signature means fraud.</w:t>
            </w:r>
          </w:p>
        </w:tc>
      </w:tr>
      <w:tr>
        <w:tc>
          <w:tcPr>
            <w:tcW w:type="dxa" w:w="2498"/>
            <w:vAlign w:val="center"/>
          </w:tcPr>
          <w:p>
            <w:r>
              <w:t>Direct bank confirmation through API</w:t>
            </w:r>
          </w:p>
        </w:tc>
        <w:tc>
          <w:tcPr>
            <w:tcW w:type="dxa" w:w="2498"/>
            <w:vAlign w:val="center"/>
          </w:tcPr>
          <w:p>
            <w:r>
              <w:t>Not established for AICTE</w:t>
            </w:r>
          </w:p>
        </w:tc>
        <w:tc>
          <w:tcPr>
            <w:tcW w:type="dxa" w:w="2498"/>
            <w:vAlign w:val="center"/>
          </w:tcPr>
          <w:p>
            <w:r>
              <w:t>Some banks publicly document corporate FD/API capabilities; access for AICTE remains unverified.</w:t>
            </w:r>
          </w:p>
        </w:tc>
        <w:tc>
          <w:tcPr>
            <w:tcW w:type="dxa" w:w="2498"/>
            <w:vAlign w:val="center"/>
          </w:tcPr>
          <w:p>
            <w:r>
              <w:t>That an AICTE-bank API exists or is available to our team.</w:t>
            </w:r>
          </w:p>
        </w:tc>
      </w:tr>
      <w:tr>
        <w:tc>
          <w:tcPr>
            <w:tcW w:type="dxa" w:w="2498"/>
            <w:vAlign w:val="center"/>
          </w:tcPr>
          <w:p>
            <w:r>
              <w:t>A downloadable evidence dossier</w:t>
            </w:r>
          </w:p>
        </w:tc>
        <w:tc>
          <w:tcPr>
            <w:tcW w:type="dxa" w:w="2498"/>
            <w:vAlign w:val="center"/>
          </w:tcPr>
          <w:p>
            <w:r>
              <w:t>Not established in sources reviewed</w:t>
            </w:r>
          </w:p>
        </w:tc>
        <w:tc>
          <w:tcPr>
            <w:tcW w:type="dxa" w:w="2498"/>
            <w:vAlign w:val="center"/>
          </w:tcPr>
          <w:p>
            <w:r>
              <w:t>A proposed output combining evidence and recorded checks.</w:t>
            </w:r>
          </w:p>
        </w:tc>
        <w:tc>
          <w:tcPr>
            <w:tcW w:type="dxa" w:w="2498"/>
            <w:vAlign w:val="center"/>
          </w:tcPr>
          <w:p>
            <w:r>
              <w:t>That this is a proven gap in the current system.</w:t>
            </w:r>
          </w:p>
        </w:tc>
      </w:tr>
      <w:tr>
        <w:tc>
          <w:tcPr>
            <w:tcW w:type="dxa" w:w="2498"/>
            <w:vAlign w:val="center"/>
          </w:tcPr>
          <w:p>
            <w:r>
              <w:t>Public AICTE-specific FDR dataset</w:t>
            </w:r>
          </w:p>
        </w:tc>
        <w:tc>
          <w:tcPr>
            <w:tcW w:type="dxa" w:w="2498"/>
            <w:vAlign w:val="center"/>
          </w:tcPr>
          <w:p>
            <w:r>
              <w:t>Not identified in this survey</w:t>
            </w:r>
          </w:p>
        </w:tc>
        <w:tc>
          <w:tcPr>
            <w:tcW w:type="dxa" w:w="2498"/>
            <w:vAlign w:val="center"/>
          </w:tcPr>
          <w:p>
            <w:r>
              <w:t>Use synthetic records for the prototype unless authorised data is obtained.</w:t>
            </w:r>
          </w:p>
        </w:tc>
        <w:tc>
          <w:tcPr>
            <w:tcW w:type="dxa" w:w="2498"/>
            <w:vAlign w:val="center"/>
          </w:tcPr>
          <w:p>
            <w:r>
              <w:t>That no such dataset exists anywhere.</w:t>
            </w:r>
          </w:p>
        </w:tc>
      </w:tr>
    </w:tbl>
    <w:p>
      <w:pPr>
        <w:pStyle w:val="Heading2"/>
      </w:pPr>
      <w:r>
        <w:t>13.3 Related systems and reusable capabilities</w:t>
      </w:r>
    </w:p>
    <w:p>
      <w:pPr>
        <w:pStyle w:val="Heading3"/>
      </w:pPr>
      <w:r>
        <w:t>A. Banking channels and APIs</w:t>
      </w:r>
    </w:p>
    <w:p>
      <w:r>
        <w:t>ICICI Bank's corporate API-services page and corporate FD FAQs publicly describe API integration and online corporate fixed-deposit services. These sources establish that bank-side digital FD capabilities exist in at least some corporate-banking contexts. They do not establish an API for AICTE's security deposits, eligibility for this use case, a common cross-bank standard, or permission for an external hackathon team to access bank records. Treat direct verification as a future integration requiring bank approval, credentials, contractual authority, data-protection controls and API documentation.</w:t>
      </w:r>
    </w:p>
    <w:p>
      <w:r>
        <w:t>Official sources:</w:t>
      </w:r>
    </w:p>
    <w:p>
      <w:r>
        <w:t>https://www.icici.bank.in/business-banking/cms/corporate-api-suite/other-services-api</w:t>
      </w:r>
    </w:p>
    <w:p>
      <w:r>
        <w:t>https://www.icici.bank.in/business-banking/fixed-deposit/faq</w:t>
      </w:r>
    </w:p>
    <w:p>
      <w:pPr>
        <w:pStyle w:val="Heading3"/>
      </w:pPr>
      <w:r>
        <w:t>B. Document-tampering detection research</w:t>
      </w:r>
    </w:p>
    <w:p>
      <w:r>
        <w:t>Qu et al., CVPR 2023, propose a Document Tampering Detector (DTD) and introduce DocTamper, a 170,000-image benchmark. The official repository says dataset access is restricted and for non-commercial use. This is a research lead, not an FDR-specific ready-made solution. Do not assume performance transfers to scanned Indian FDRs; check access terms, data domain, inference dependencies and evaluation conditions before using it.</w:t>
      </w:r>
    </w:p>
    <w:p>
      <w:r>
        <w:t>Paper: https://openaccess.thecvf.com/content/CVPR2023/html/Qu_Towards_Robust_Tampered_Text_Detection_in_Document_Image_New_Dataset_CVPR_2023_paper.html</w:t>
      </w:r>
    </w:p>
    <w:p>
      <w:r>
        <w:t>Official repository / access terms: https://github.com/qcf-568/DocTamper</w:t>
      </w:r>
    </w:p>
    <w:p>
      <w:pPr>
        <w:pStyle w:val="Heading3"/>
      </w:pPr>
      <w:r>
        <w:t>C. Financial OCR benchmark</w:t>
      </w:r>
    </w:p>
    <w:p>
      <w:r>
        <w:t>FinCriticalED is a financial fact-level OCR benchmark. The project repository describes 859 financial document pages and 9,481 expert-annotated facts; the paper's abstract and public release may report different subsets/version counts (the abstract mentions 500 image-HTML pairs, and the public release lists 848 samples). Cite the version actually accessed and explain the subset, rather than mixing counts as if they were identical. It is useful for methodology because amounts, dates, units and entities require fact-level accuracy, but it is not an AICTE FDR dataset. The Hugging Face release is gated and requires accepting access conditions; the project site states Apache 2.0 for the public release, while each model/data component's card should be checked separately.</w:t>
      </w:r>
    </w:p>
    <w:p>
      <w:r>
        <w:t>Project site: https://the-finai.github.io/FinCriticalED/</w:t>
      </w:r>
    </w:p>
    <w:p>
      <w:r>
        <w:t>Paper: https://arxiv.org/abs/2511.14998</w:t>
      </w:r>
    </w:p>
    <w:p>
      <w:r>
        <w:t>Dataset card: https://huggingface.co/datasets/TheFinAI/FinCriticalED</w:t>
      </w:r>
    </w:p>
    <w:p>
      <w:pPr>
        <w:pStyle w:val="Heading3"/>
      </w:pPr>
      <w:r>
        <w:t>D. PDF signature validation</w:t>
      </w:r>
    </w:p>
    <w:p>
      <w:r>
        <w:t>pyHanko can validate supported PDF digital signatures with respect to cryptographic integrity and a configured certificate trust context. Its documentation also warns that incremental-update analysis is experimental. Signature outcomes should be reported as separate states—valid under configured trust policy, cryptographic failure, signature absent, trust status indeterminate, or validation incomplete. A signature is not proof that the bank's underlying deposit record is real.</w:t>
      </w:r>
    </w:p>
    <w:p>
      <w:r>
        <w:t>Documentation: https://docs.pyhanko.eu/en/latest/cli-guide/validation.html</w:t>
      </w:r>
    </w:p>
    <w:p>
      <w:pPr>
        <w:pStyle w:val="Heading3"/>
      </w:pPr>
      <w:r>
        <w:t>E. Secure uploads and audit logging</w:t>
      </w:r>
    </w:p>
    <w:p>
      <w:r>
        <w:t>OWASP guidance supports an allowlist of file types, validating actual file type rather than trusting the filename, safe generated names, size limits, authorisation, and storage outside a public web root. NIST FIPS 180-4 defines secure hash algorithms including SHA-256. A stored hash can detect a later change relative to the recorded version; it does not authenticate the original issuer or content. Audit logs should record relevant events without logging passwords, access tokens or encryption keys.</w:t>
      </w:r>
    </w:p>
    <w:p>
      <w:r>
        <w:t>OWASP upload guidance: https://cheatsheetseries.owasp.org/cheatsheets/File_Upload_Cheat_Sheet.html</w:t>
      </w:r>
    </w:p>
    <w:p>
      <w:r>
        <w:t>OWASP logging guidance: https://cheatsheetseries.owasp.org/cheatsheets/Logging_Cheat_Sheet.html</w:t>
      </w:r>
    </w:p>
    <w:p>
      <w:r>
        <w:t>NIST FIPS 180-4: https://csrc.nist.gov/pubs/fips/180-4/upd1/final</w:t>
      </w:r>
    </w:p>
    <w:p>
      <w:pPr>
        <w:pStyle w:val="Heading2"/>
      </w:pPr>
      <w:r>
        <w:t>13.4 Recommended gap statement — safe wording for the PPT</w:t>
      </w:r>
    </w:p>
    <w:p>
      <w:r>
        <w:rPr>
          <w:b/>
        </w:rPr>
        <w:t xml:space="preserve">Recommended: </w:t>
      </w:r>
      <w:r>
        <w:t>“AICTE's published documents already describe online FDR-refund applications, document submission, multi-cell verification and status tracking. DepositGuard is a proposed evidence-driven prototype that explores how instrument-level consistency checks, file-integrity history, maturity monitoring and traceable review evidence could complement such workflows. The current live portal's exact capabilities must be confirmed before any gap is claimed.”</w:t>
      </w:r>
    </w:p>
    <w:p>
      <w:r>
        <w:rPr>
          <w:b/>
        </w:rPr>
        <w:t xml:space="preserve">Avoid: </w:t>
      </w:r>
      <w:r>
        <w:t>“AICTE has no FDR portal,” “the current system is completely manual,” “AICTE cannot verify FDRs,” or “our AI detects fake FDRs with high accuracy” unless independent evidence and reproducible evaluation support those exact statements.</w:t>
      </w:r>
    </w:p>
    <w:p>
      <w:pPr>
        <w:pStyle w:val="Heading2"/>
      </w:pPr>
      <w:r>
        <w:t>13.5 Requirement-to-feature-to-test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C6E0B4"/>
          </w:tcPr>
          <w:p>
            <w:r>
              <w:t>Baseline / need</w:t>
            </w:r>
          </w:p>
        </w:tc>
        <w:tc>
          <w:tcPr>
            <w:tcW w:type="dxa" w:w="2498"/>
            <w:shd w:fill="C6E0B4"/>
          </w:tcPr>
          <w:p>
            <w:r>
              <w:t>Prototype response</w:t>
            </w:r>
          </w:p>
        </w:tc>
        <w:tc>
          <w:tcPr>
            <w:tcW w:type="dxa" w:w="2498"/>
            <w:shd w:fill="C6E0B4"/>
          </w:tcPr>
          <w:p>
            <w:r>
              <w:t>Acceptance test</w:t>
            </w:r>
          </w:p>
        </w:tc>
        <w:tc>
          <w:tcPr>
            <w:tcW w:type="dxa" w:w="2498"/>
            <w:shd w:fill="C6E0B4"/>
          </w:tcPr>
          <w:p>
            <w:r>
              <w:t>Evidence shown in demo</w:t>
            </w:r>
          </w:p>
        </w:tc>
      </w:tr>
      <w:tr>
        <w:tc>
          <w:tcPr>
            <w:tcW w:type="dxa" w:w="2498"/>
          </w:tcPr>
          <w:p>
            <w:r>
              <w:t>Maintain instrument records</w:t>
            </w:r>
          </w:p>
        </w:tc>
        <w:tc>
          <w:tcPr>
            <w:tcW w:type="dxa" w:w="2498"/>
          </w:tcPr>
          <w:p>
            <w:r>
              <w:t>FDR record schema with institution ownership and versioned metadata</w:t>
            </w:r>
          </w:p>
        </w:tc>
        <w:tc>
          <w:tcPr>
            <w:tcW w:type="dxa" w:w="2498"/>
          </w:tcPr>
          <w:p>
            <w:r>
              <w:t>Create, view, update, archive record; enforce tenant boundary</w:t>
            </w:r>
          </w:p>
        </w:tc>
        <w:tc>
          <w:tcPr>
            <w:tcW w:type="dxa" w:w="2498"/>
          </w:tcPr>
          <w:p>
            <w:r>
              <w:t>Record detail and role-specific access test</w:t>
            </w:r>
          </w:p>
        </w:tc>
      </w:tr>
      <w:tr>
        <w:tc>
          <w:tcPr>
            <w:tcW w:type="dxa" w:w="2498"/>
          </w:tcPr>
          <w:p>
            <w:r>
              <w:t>Submit supporting documents</w:t>
            </w:r>
          </w:p>
        </w:tc>
        <w:tc>
          <w:tcPr>
            <w:tcW w:type="dxa" w:w="2498"/>
          </w:tcPr>
          <w:p>
            <w:r>
              <w:t>Validated upload and document metadata</w:t>
            </w:r>
          </w:p>
        </w:tc>
        <w:tc>
          <w:tcPr>
            <w:tcW w:type="dxa" w:w="2498"/>
          </w:tcPr>
          <w:p>
            <w:r>
              <w:t>Reject disallowed type/oversize file; prevent unsafe path/name</w:t>
            </w:r>
          </w:p>
        </w:tc>
        <w:tc>
          <w:tcPr>
            <w:tcW w:type="dxa" w:w="2498"/>
          </w:tcPr>
          <w:p>
            <w:r>
              <w:t>Upload validation outcome</w:t>
            </w:r>
          </w:p>
        </w:tc>
      </w:tr>
      <w:tr>
        <w:tc>
          <w:tcPr>
            <w:tcW w:type="dxa" w:w="2498"/>
          </w:tcPr>
          <w:p>
            <w:r>
              <w:t>Spot inconsistent values</w:t>
            </w:r>
          </w:p>
        </w:tc>
        <w:tc>
          <w:tcPr>
            <w:tcW w:type="dxa" w:w="2498"/>
          </w:tcPr>
          <w:p>
            <w:r>
              <w:t>OCR extraction plus deterministic field comparison</w:t>
            </w:r>
          </w:p>
        </w:tc>
        <w:tc>
          <w:tcPr>
            <w:tcW w:type="dxa" w:w="2498"/>
          </w:tcPr>
          <w:p>
            <w:r>
              <w:t>Inject a known amount/date mismatch and verify it is flagged</w:t>
            </w:r>
          </w:p>
        </w:tc>
        <w:tc>
          <w:tcPr>
            <w:tcW w:type="dxa" w:w="2498"/>
          </w:tcPr>
          <w:p>
            <w:r>
              <w:t>Evidence location, extracted/submitted value and confidence</w:t>
            </w:r>
          </w:p>
        </w:tc>
      </w:tr>
      <w:tr>
        <w:tc>
          <w:tcPr>
            <w:tcW w:type="dxa" w:w="2498"/>
          </w:tcPr>
          <w:p>
            <w:r>
              <w:t>Detect later file change</w:t>
            </w:r>
          </w:p>
        </w:tc>
        <w:tc>
          <w:tcPr>
            <w:tcW w:type="dxa" w:w="2498"/>
          </w:tcPr>
          <w:p>
            <w:r>
              <w:t>SHA-256 hash per uploaded version</w:t>
            </w:r>
          </w:p>
        </w:tc>
        <w:tc>
          <w:tcPr>
            <w:tcW w:type="dxa" w:w="2498"/>
          </w:tcPr>
          <w:p>
            <w:r>
              <w:t>Modify a test file and verify hash mismatch</w:t>
            </w:r>
          </w:p>
        </w:tc>
        <w:tc>
          <w:tcPr>
            <w:tcW w:type="dxa" w:w="2498"/>
          </w:tcPr>
          <w:p>
            <w:r>
              <w:t>Original/current hash and integrity state</w:t>
            </w:r>
          </w:p>
        </w:tc>
      </w:tr>
      <w:tr>
        <w:tc>
          <w:tcPr>
            <w:tcW w:type="dxa" w:w="2498"/>
          </w:tcPr>
          <w:p>
            <w:r>
              <w:t>Handle signed PDFs carefully</w:t>
            </w:r>
          </w:p>
        </w:tc>
        <w:tc>
          <w:tcPr>
            <w:tcW w:type="dxa" w:w="2498"/>
          </w:tcPr>
          <w:p>
            <w:r>
              <w:t>pyHanko validation only where applicable</w:t>
            </w:r>
          </w:p>
        </w:tc>
        <w:tc>
          <w:tcPr>
            <w:tcW w:type="dxa" w:w="2498"/>
          </w:tcPr>
          <w:p>
            <w:r>
              <w:t>Test a signed sample and unsigned sample; show distinct outcomes</w:t>
            </w:r>
          </w:p>
        </w:tc>
        <w:tc>
          <w:tcPr>
            <w:tcW w:type="dxa" w:w="2498"/>
          </w:tcPr>
          <w:p>
            <w:r>
              <w:t>Signature result and trust limitation</w:t>
            </w:r>
          </w:p>
        </w:tc>
      </w:tr>
      <w:tr>
        <w:tc>
          <w:tcPr>
            <w:tcW w:type="dxa" w:w="2498"/>
          </w:tcPr>
          <w:p>
            <w:r>
              <w:t>Track dates and pending work</w:t>
            </w:r>
          </w:p>
        </w:tc>
        <w:tc>
          <w:tcPr>
            <w:tcW w:type="dxa" w:w="2498"/>
          </w:tcPr>
          <w:p>
            <w:r>
              <w:t>Maturity and task rules with priority queue or indexed date query</w:t>
            </w:r>
          </w:p>
        </w:tc>
        <w:tc>
          <w:tcPr>
            <w:tcW w:type="dxa" w:w="2498"/>
          </w:tcPr>
          <w:p>
            <w:r>
              <w:t>Seed upcoming/overdue dates and verify reminders</w:t>
            </w:r>
          </w:p>
        </w:tc>
        <w:tc>
          <w:tcPr>
            <w:tcW w:type="dxa" w:w="2498"/>
          </w:tcPr>
          <w:p>
            <w:r>
              <w:t>Dashboard and due-date queue</w:t>
            </w:r>
          </w:p>
        </w:tc>
      </w:tr>
      <w:tr>
        <w:tc>
          <w:tcPr>
            <w:tcW w:type="dxa" w:w="2498"/>
          </w:tcPr>
          <w:p>
            <w:r>
              <w:t>Preserve authorised decisions</w:t>
            </w:r>
          </w:p>
        </w:tc>
        <w:tc>
          <w:tcPr>
            <w:tcW w:type="dxa" w:w="2498"/>
          </w:tcPr>
          <w:p>
            <w:r>
              <w:t>RBAC, workflow state machine and append-only-style audit events</w:t>
            </w:r>
          </w:p>
        </w:tc>
        <w:tc>
          <w:tcPr>
            <w:tcW w:type="dxa" w:w="2498"/>
          </w:tcPr>
          <w:p>
            <w:r>
              <w:t>Attempt release without mandatory clearance; API must reject</w:t>
            </w:r>
          </w:p>
        </w:tc>
        <w:tc>
          <w:tcPr>
            <w:tcW w:type="dxa" w:w="2498"/>
          </w:tcPr>
          <w:p>
            <w:r>
              <w:t>Denied transition and audit entry</w:t>
            </w:r>
          </w:p>
        </w:tc>
      </w:tr>
      <w:tr>
        <w:tc>
          <w:tcPr>
            <w:tcW w:type="dxa" w:w="2498"/>
          </w:tcPr>
          <w:p>
            <w:r>
              <w:t>Explain verification status</w:t>
            </w:r>
          </w:p>
        </w:tc>
        <w:tc>
          <w:tcPr>
            <w:tcW w:type="dxa" w:w="2498"/>
          </w:tcPr>
          <w:p>
            <w:r>
              <w:t>Evidence dossier with check-by-check status</w:t>
            </w:r>
          </w:p>
        </w:tc>
        <w:tc>
          <w:tcPr>
            <w:tcW w:type="dxa" w:w="2498"/>
          </w:tcPr>
          <w:p>
            <w:r>
              <w:t>Ensure one failed/unknown check cannot be hidden by a single green overall status</w:t>
            </w:r>
          </w:p>
        </w:tc>
        <w:tc>
          <w:tcPr>
            <w:tcW w:type="dxa" w:w="2498"/>
          </w:tcPr>
          <w:p>
            <w:r>
              <w:t>Downloadable report and unresolved checks</w:t>
            </w:r>
          </w:p>
        </w:tc>
      </w:tr>
      <w:tr>
        <w:tc>
          <w:tcPr>
            <w:tcW w:type="dxa" w:w="2498"/>
          </w:tcPr>
          <w:p>
            <w:r>
              <w:t>Bank confirmation</w:t>
            </w:r>
          </w:p>
        </w:tc>
        <w:tc>
          <w:tcPr>
            <w:tcW w:type="dxa" w:w="2498"/>
          </w:tcPr>
          <w:p>
            <w:r>
              <w:t>Adapter with manual/simulated/live-authorised modes</w:t>
            </w:r>
          </w:p>
        </w:tc>
        <w:tc>
          <w:tcPr>
            <w:tcW w:type="dxa" w:w="2498"/>
          </w:tcPr>
          <w:p>
            <w:r>
              <w:t>Simulated mode is visibly labelled; no claim of live verification</w:t>
            </w:r>
          </w:p>
        </w:tc>
        <w:tc>
          <w:tcPr>
            <w:tcW w:type="dxa" w:w="2498"/>
          </w:tcPr>
          <w:p>
            <w:r>
              <w:t>Source, timestamp, mode and result</w:t>
            </w:r>
          </w:p>
        </w:tc>
      </w:tr>
    </w:tbl>
    <w:p>
      <w:pPr>
        <w:pStyle w:val="Heading2"/>
      </w:pPr>
      <w:r>
        <w:t>13.6 Dataset and model decision</w:t>
      </w:r>
    </w:p>
    <w:p>
      <w:pPr>
        <w:pStyle w:val="ListBullet"/>
      </w:pPr>
      <w:r>
        <w:t>No AICTE-authorised FDR dataset has been identified in the sources reviewed. Build a reproducible synthetic dataset for workflow testing and demo only; label every record as synthetic.</w:t>
      </w:r>
    </w:p>
    <w:p>
      <w:pPr>
        <w:pStyle w:val="ListBullet"/>
      </w:pPr>
      <w:r>
        <w:t>For OCR, manually annotate a small sample of legally usable documents or generated synthetic documents and report field-level exact-match accuracy for amount, dates, instrument ID and bank identifiers. Do not use overall character similarity alone.</w:t>
      </w:r>
    </w:p>
    <w:p>
      <w:pPr>
        <w:pStyle w:val="ListBullet"/>
      </w:pPr>
      <w:r>
        <w:t>For tampering ML, do not train from scratch on the hackathon deadline. First confirm dataset access/licence, then run a baseline or pretrained inference experiment only if the environment and data permit. Report results only from actual runs.</w:t>
      </w:r>
    </w:p>
    <w:p>
      <w:pPr>
        <w:pStyle w:val="ListBullet"/>
      </w:pPr>
      <w:r>
        <w:t>For maturity reminders, deterministic date rules are preferable to ML. Delay prediction should be a future experiment requiring authorised, labelled historical workflow data and a meaningful baseline.</w:t>
      </w:r>
    </w:p>
    <w:p>
      <w:pPr>
        <w:pStyle w:val="ListBullet"/>
      </w:pPr>
      <w:r>
        <w:t>Avoid data leakage: keep images derived from the same original document together in one train/test split. Report false positives, false negatives and failure examples, especially for critical numeric fields.</w:t>
      </w:r>
    </w:p>
    <w:p>
      <w:pPr>
        <w:pStyle w:val="Heading2"/>
      </w:pPr>
      <w:r>
        <w:t>13.7 Remaining unknowns and practical completion status</w:t>
      </w:r>
    </w:p>
    <w:p>
      <w:r>
        <w:t>This is a substantially completed desk-research survey, but it is not possible to honestly label it a complete audit of the live AICTE system without access to the authenticated portal, a current user manual/API specification, or confirmation from AICTE. The following are the remaining verification tasks, not reasons to delay the prototype:</w:t>
      </w:r>
    </w:p>
    <w:p>
      <w:pPr>
        <w:pStyle w:val="ListNumber"/>
      </w:pPr>
      <w:r>
        <w:t>Inspect only publicly accessible AICTE portal pages or an account the team is authorised to use; record screenshots and the date accessed. Do not attempt to bypass access controls.</w:t>
      </w:r>
    </w:p>
    <w:p>
      <w:pPr>
        <w:pStyle w:val="ListNumber"/>
      </w:pPr>
      <w:r>
        <w:t>Compare the exact PS1 statement supplied by the organisers with the handbook and RFP. The problem statement's explicit requirements take precedence for competition scope.</w:t>
      </w:r>
    </w:p>
    <w:p>
      <w:pPr>
        <w:pStyle w:val="ListNumber"/>
      </w:pPr>
      <w:r>
        <w:t>Ask the organiser/AICTE contact whether a live portal demo, bank verification channel, test API, or sample FDR documents can be provided.</w:t>
      </w:r>
    </w:p>
    <w:p>
      <w:pPr>
        <w:pStyle w:val="ListNumber"/>
      </w:pPr>
      <w:r>
        <w:t>Check terms and access conditions for each external dataset and library immediately before use.</w:t>
      </w:r>
    </w:p>
    <w:p>
      <w:pPr>
        <w:pStyle w:val="ListNumber"/>
      </w:pPr>
      <w:r>
        <w:t>In the PPT, identify features as “implemented,” “prototype,” “planned integration,” or “requires authorised access”; never blend these categories.</w:t>
      </w:r>
    </w:p>
    <w:p>
      <w:pPr>
        <w:pStyle w:val="Heading2"/>
      </w:pPr>
      <w:r>
        <w:t>13.8 Final recommendation</w:t>
      </w:r>
    </w:p>
    <w:p>
      <w:r>
        <w:t>Proceed with DepositGuard as a prototype for evidence-driven FDR lifecycle assurance, not as a claimed replacement for AICTE's existing process. The most defensible demo is a synthetic FDR submitted with a deliberate amount/date mismatch, a file-integrity check, a review queue, a maturity alert, and a dossier that shows the evidence and unresolved verification limits. This creates a credible demonstration without claiming live bank connectivity, AICTE endorsement, or unmeasured model accuracy.</w:t>
      </w:r>
    </w:p>
    <w:p>
      <w:pPr>
        <w:pStyle w:val="Heading2"/>
      </w:pPr>
      <w:r>
        <w:t>13.9 Additional references added in this update</w:t>
      </w:r>
    </w:p>
    <w:p>
      <w:pPr>
        <w:pStyle w:val="ListNumber"/>
      </w:pPr>
      <w:r>
        <w:t xml:space="preserve">R16 — ICICI Bank, Corporate API Suite / Other Services API. Public description of corporate API capabilities; not evidence of an AICTE integration. </w:t>
      </w:r>
      <w:r>
        <w:t>https://www.icici.bank.in/business-banking/cms/corporate-api-suite/other-services-api</w:t>
      </w:r>
    </w:p>
    <w:p>
      <w:pPr>
        <w:pStyle w:val="ListNumber"/>
      </w:pPr>
      <w:r>
        <w:t xml:space="preserve">R17 — ICICI Bank, Corporate Fixed Deposit FAQs. Describes corporate FD and API integration options. </w:t>
      </w:r>
      <w:r>
        <w:t>https://www.icici.bank.in/business-banking/fixed-deposit/faq</w:t>
      </w:r>
    </w:p>
    <w:p>
      <w:pPr>
        <w:pStyle w:val="ListNumber"/>
      </w:pPr>
      <w:r>
        <w:t xml:space="preserve">R18 — FinCriticalED project site. Dataset versions, scope and licence notes. </w:t>
      </w:r>
      <w:r>
        <w:t>https://the-finai.github.io/FinCriticalED/</w:t>
      </w:r>
    </w:p>
    <w:p>
      <w:pPr>
        <w:pStyle w:val="ListNumber"/>
      </w:pPr>
      <w:r>
        <w:t xml:space="preserve">R19 — FinCriticalED public dataset card. Current public release and gated-access conditions. </w:t>
      </w:r>
      <w:r>
        <w:t>https://huggingface.co/datasets/TheFinAI/FinCriticalED</w:t>
      </w:r>
    </w:p>
    <w:p>
      <w:pPr>
        <w:pStyle w:val="ListNumber"/>
      </w:pPr>
      <w:r>
        <w:t xml:space="preserve">R20 — Official DocTamper repository. Dataset access and non-commercial-use conditions. </w:t>
      </w:r>
      <w:r>
        <w:t>https://github.com/qcf-568/DocTamper</w:t>
      </w:r>
    </w:p>
    <w:p>
      <w:pPr>
        <w:pStyle w:val="ListNumber"/>
      </w:pPr>
      <w:r>
        <w:t xml:space="preserve">R21 — pyHanko PDF signature validation documentation. Cryptographic integrity, trust context and limitations. </w:t>
      </w:r>
      <w:r>
        <w:t>https://docs.pyhanko.eu/en/latest/cli-guide/validation.html</w:t>
      </w:r>
    </w:p>
    <w:p>
      <w:r>
        <w:t>Research integrity note: This update is based on public desk research checked on 26 October 2026. It does not claim access to AICTE internal systems, private bank APIs, confidential institutional records, or a live authenticated portal. Any unverified feature is explicitly marked as unknown.</w:t>
      </w:r>
    </w:p>
    <w:p>
      <w:r>
        <w:br w:type="page"/>
      </w:r>
    </w:p>
    <w:p>
      <w:pPr>
        <w:pStyle w:val="Title"/>
        <w:jc w:val="center"/>
      </w:pPr>
      <w:r>
        <w:t>Research-to-Implementation Addendum</w:t>
      </w:r>
    </w:p>
    <w:p>
      <w:pPr>
        <w:jc w:val="center"/>
      </w:pPr>
      <w:r>
        <w:rPr>
          <w:i/>
        </w:rPr>
        <w:t>How the reviewed research informs the added features</w:t>
      </w:r>
    </w:p>
    <w:p>
      <w:r>
        <w:t>This addendum maps the proposed innovation features to evidence and implementation constraints. The research survey establishes the documented process and relevant technical principles; it does not establish that AICTE or any bank has authorized a live integration for this team.</w:t>
      </w:r>
    </w:p>
    <w:tbl>
      <w:tblPr>
        <w:tblStyle w:val="LightShading-Accent1"/>
        <w:tblW w:type="auto" w:w="0"/>
        <w:tblLook w:firstColumn="1" w:firstRow="1" w:lastColumn="0" w:lastRow="0" w:noHBand="0" w:noVBand="1" w:val="04A0"/>
      </w:tblPr>
      <w:tblGrid>
        <w:gridCol w:w="4997"/>
        <w:gridCol w:w="4997"/>
      </w:tblGrid>
      <w:tr>
        <w:tc>
          <w:tcPr>
            <w:tcW w:type="dxa" w:w="4997"/>
            <w:shd w:fill="D9EAF7"/>
          </w:tcPr>
          <w:p>
            <w:r>
              <w:t>Feature area</w:t>
            </w:r>
          </w:p>
        </w:tc>
        <w:tc>
          <w:tcPr>
            <w:tcW w:type="dxa" w:w="4997"/>
            <w:shd w:fill="D9EAF7"/>
          </w:tcPr>
          <w:p>
            <w:r>
              <w:t>Evidence boundary and implementation guidance</w:t>
            </w:r>
          </w:p>
        </w:tc>
      </w:tr>
      <w:tr>
        <w:tc>
          <w:tcPr>
            <w:tcW w:type="dxa" w:w="4997"/>
          </w:tcPr>
          <w:p>
            <w:r>
              <w:t>Cryptographic file integrity</w:t>
            </w:r>
          </w:p>
        </w:tc>
        <w:tc>
          <w:tcPr>
            <w:tcW w:type="dxa" w:w="4997"/>
          </w:tcPr>
          <w:p>
            <w:r>
              <w:t>Use SHA-256 to compare received/stored file bytes across time. Cite NIST Secure Hash Standard as the algorithm reference. Integrity is not authenticity.</w:t>
            </w:r>
          </w:p>
        </w:tc>
      </w:tr>
      <w:tr>
        <w:tc>
          <w:tcPr>
            <w:tcW w:type="dxa" w:w="4997"/>
          </w:tcPr>
          <w:p>
            <w:r>
              <w:t>Safe document handling and audit</w:t>
            </w:r>
          </w:p>
        </w:tc>
        <w:tc>
          <w:tcPr>
            <w:tcW w:type="dxa" w:w="4997"/>
          </w:tcPr>
          <w:p>
            <w:r>
              <w:t>Apply secure upload controls, private storage, access checks, and structured audit events. Follow OWASP File Upload and Logging guidance; avoid secrets and sensitive document contents in logs.</w:t>
            </w:r>
          </w:p>
        </w:tc>
      </w:tr>
      <w:tr>
        <w:tc>
          <w:tcPr>
            <w:tcW w:type="dxa" w:w="4997"/>
          </w:tcPr>
          <w:p>
            <w:r>
              <w:t>PDF signatures</w:t>
            </w:r>
          </w:p>
        </w:tc>
        <w:tc>
          <w:tcPr>
            <w:tcW w:type="dxa" w:w="4997"/>
          </w:tcPr>
          <w:p>
            <w:r>
              <w:t>Use a supported signature-validation library such as pyHanko only for applicable signed PDFs. Record no-signature, invalid, untrusted/indeterminate and not-completed outcomes separately. A valid PDF signature does not prove that a bank issued the FDR.</w:t>
            </w:r>
          </w:p>
        </w:tc>
      </w:tr>
      <w:tr>
        <w:tc>
          <w:tcPr>
            <w:tcW w:type="dxa" w:w="4997"/>
          </w:tcPr>
          <w:p>
            <w:r>
              <w:t>Tamper localization</w:t>
            </w:r>
          </w:p>
        </w:tc>
        <w:tc>
          <w:tcPr>
            <w:tcW w:type="dxa" w:w="4997"/>
          </w:tcPr>
          <w:p>
            <w:r>
              <w:t>Treat as advanced and conditional on suitable data/model availability. Research on document tampering can motivate the direction but does not prove accuracy on AICTE FDRs. Show regions only when the model actually produces a supported output; evaluate with labelled test samples.</w:t>
            </w:r>
          </w:p>
        </w:tc>
      </w:tr>
      <w:tr>
        <w:tc>
          <w:tcPr>
            <w:tcW w:type="dxa" w:w="4997"/>
          </w:tcPr>
          <w:p>
            <w:r>
              <w:t>Lifecycle graph and review prioritization</w:t>
            </w:r>
          </w:p>
        </w:tc>
        <w:tc>
          <w:tcPr>
            <w:tcW w:type="dxa" w:w="4997"/>
          </w:tcPr>
          <w:p>
            <w:r>
              <w:t>These are proposed workflow/DSA design choices rather than findings that AICTE requires a graph or heap. Explain the value as traceability and transparent queue ordering.</w:t>
            </w:r>
          </w:p>
        </w:tc>
      </w:tr>
      <w:tr>
        <w:tc>
          <w:tcPr>
            <w:tcW w:type="dxa" w:w="4997"/>
          </w:tcPr>
          <w:p>
            <w:r>
              <w:t>Reliable processing pipeline</w:t>
            </w:r>
          </w:p>
        </w:tc>
        <w:tc>
          <w:tcPr>
            <w:tcW w:type="dxa" w:w="4997"/>
          </w:tcPr>
          <w:p>
            <w:r>
              <w:t>Queueing, bounded retries, idempotency and background workers are standard engineering patterns proposed to improve resilience under bursts. The prototype should be tested locally and not described as production-scale distributed infrastructure.</w:t>
            </w:r>
          </w:p>
        </w:tc>
      </w:tr>
      <w:tr>
        <w:tc>
          <w:tcPr>
            <w:tcW w:type="dxa" w:w="4997"/>
          </w:tcPr>
          <w:p>
            <w:r>
              <w:t>Bank verification</w:t>
            </w:r>
          </w:p>
        </w:tc>
        <w:tc>
          <w:tcPr>
            <w:tcW w:type="dxa" w:w="4997"/>
          </w:tcPr>
          <w:p>
            <w:r>
              <w:t>Use live verification only with formal authorization and an actual supported interface. Otherwise label the adapter as manual or simulated. Public bank API descriptions do not imply AICTE access or permission.</w:t>
            </w:r>
          </w:p>
        </w:tc>
      </w:tr>
      <w:tr>
        <w:tc>
          <w:tcPr>
            <w:tcW w:type="dxa" w:w="4997"/>
          </w:tcPr>
          <w:p>
            <w:r>
              <w:t>Synthetic data</w:t>
            </w:r>
          </w:p>
        </w:tc>
        <w:tc>
          <w:tcPr>
            <w:tcW w:type="dxa" w:w="4997"/>
          </w:tcPr>
          <w:p>
            <w:r>
              <w:t>No AICTE FDR-specific public dataset has been established by this survey. Use clearly labelled synthetic records for demonstration, avoid real personal/institutional data without authorization, and do not claim real-world fraud accuracy from synthetic tests.</w:t>
            </w:r>
          </w:p>
        </w:tc>
      </w:tr>
    </w:tbl>
    <w:p>
      <w:pPr>
        <w:pStyle w:val="Heading1"/>
      </w:pPr>
      <w:r>
        <w:t>Claims to avoid in the PPT and demo</w:t>
      </w:r>
    </w:p>
    <w:p>
      <w:pPr>
        <w:pStyle w:val="ListBullet"/>
      </w:pPr>
      <w:r>
        <w:t>Do not claim a live bank integration unless the integration is authorized, connected and tested.</w:t>
      </w:r>
    </w:p>
    <w:p>
      <w:pPr>
        <w:pStyle w:val="ListBullet"/>
      </w:pPr>
      <w:r>
        <w:t>Do not claim AICTE endorsement or production deployment.</w:t>
      </w:r>
    </w:p>
    <w:p>
      <w:pPr>
        <w:pStyle w:val="ListBullet"/>
      </w:pPr>
      <w:r>
        <w:t>Do not describe a file hash as proof that a document is genuine.</w:t>
      </w:r>
    </w:p>
    <w:p>
      <w:pPr>
        <w:pStyle w:val="ListBullet"/>
      </w:pPr>
      <w:r>
        <w:t>Do not present suspicious-region overlays, anomaly scores or verification responses that were not actually produced.</w:t>
      </w:r>
    </w:p>
    <w:p>
      <w:pPr>
        <w:pStyle w:val="ListBullet"/>
      </w:pPr>
      <w:r>
        <w:t>Do not report fraud-detection accuracy, time savings or scale figures without a reproducible test and a clearly stated dataset/method.</w:t>
      </w:r>
    </w:p>
    <w:p>
      <w:pPr>
        <w:pStyle w:val="ListBullet"/>
      </w:pPr>
      <w:r>
        <w:t>Do not imply that every workflow feature in the plan already exists in the current AICTE portal; describe the documented process carefully and separate verified documentation from unknown live-portal capabilities.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research document • Prepared 26 October 2026 • Verify current policy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AICTE PS1 | SECURITY DEPOSIT / FDR PORTAL | RESEARCH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cte.gov.in/sites/default/files/RFPeGov.pdf" TargetMode="External"/><Relationship Id="rId12" Type="http://schemas.openxmlformats.org/officeDocument/2006/relationships/hyperlink" Target="https://www.aicte.gov.in/sites/default/files/APH%20Final.pdf" TargetMode="External"/><Relationship Id="rId13" Type="http://schemas.openxmlformats.org/officeDocument/2006/relationships/hyperlink" Target="https://aicte.gov.in/sites/default/files/Approval%20Process%20Handbook%20-%20Revised.pdf" TargetMode="External"/><Relationship Id="rId14" Type="http://schemas.openxmlformats.org/officeDocument/2006/relationships/hyperlink" Target="https://openaccess.thecvf.com/content/CVPR2023/html/Qu_Towards_Robust_Tampered_Text_Detection_in_Document_Image_New_Dataset_CVPR_2023_paper.html" TargetMode="External"/><Relationship Id="rId15" Type="http://schemas.openxmlformats.org/officeDocument/2006/relationships/hyperlink" Target="https://github.com/qcf-568/DocTamper" TargetMode="External"/><Relationship Id="rId16" Type="http://schemas.openxmlformats.org/officeDocument/2006/relationships/hyperlink" Target="https://arxiv.org/abs/2511.14998" TargetMode="External"/><Relationship Id="rId17" Type="http://schemas.openxmlformats.org/officeDocument/2006/relationships/hyperlink" Target="https://github.com/The-FinAI/FinCriticalED" TargetMode="External"/><Relationship Id="rId18" Type="http://schemas.openxmlformats.org/officeDocument/2006/relationships/hyperlink" Target="https://xplorestaging.ieee.org/document/11620092" TargetMode="External"/><Relationship Id="rId19" Type="http://schemas.openxmlformats.org/officeDocument/2006/relationships/hyperlink" Target="https://docs.pyhanko.eu/en/latest/cli-guide/validation.html" TargetMode="External"/><Relationship Id="rId20" Type="http://schemas.openxmlformats.org/officeDocument/2006/relationships/hyperlink" Target="https://csrc.nist.gov/pubs/fips/180-4/upd1/final" TargetMode="External"/><Relationship Id="rId21" Type="http://schemas.openxmlformats.org/officeDocument/2006/relationships/hyperlink" Target="https://csrc.nist.gov/glossary/term/SHA_256" TargetMode="External"/><Relationship Id="rId22" Type="http://schemas.openxmlformats.org/officeDocument/2006/relationships/hyperlink" Target="https://cheatsheetseries.owasp.org/cheatsheets/File_Upload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meity.gov.in/writereaddata/files/Digital%20Personal%20Data%20Protection%20Act%202023.pdf" TargetMode="External"/><Relationship Id="rId25" Type="http://schemas.openxmlformats.org/officeDocument/2006/relationships/hyperlink" Target="https://www.meity.gov.in/static/uploads/2025/11/c56ceae6c383460ca69577428d36828b.pdf" TargetMode="External"/><Relationship Id="rId26" Type="http://schemas.openxmlformats.org/officeDocument/2006/relationships/hyperlink" Target="https://xplorestaging.ieee.org/document/11620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AICTE PS1 Security Deposit and FDR Lifecycle Research Survey</dc:title>
  <dc:subject>Current-state research, technical literature, datasets, security and proposed solution direction</dc:subject>
  <dc:creator>OpenAI</dc:creator>
  <cp:keywords>AICTE, FDR, security deposit, JFDR, document verification, DocTamper, FinCriticalED</cp:keywords>
  <dc:description>generated by python-docx</dc:description>
  <cp:lastModifiedBy/>
  <cp:revision>1</cp:revision>
  <dcterms:created xsi:type="dcterms:W3CDTF">2013-12-23T23:15:00Z</dcterms:created>
  <dcterms:modified xsi:type="dcterms:W3CDTF">2013-12-23T23:15:00Z</dcterms:modified>
  <cp:category/>
</cp:coreProperties>
</file>