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DepositGuard — Final Solution Blueprint</w:t>
      </w:r>
    </w:p>
    <w:p>
      <w:pPr>
        <w:jc w:val="center"/>
      </w:pPr>
      <w:r>
        <w:t>AICTE PS1 | Security Deposit &amp; FDR Lifecycle Assurance | SIH submission working document</w:t>
      </w:r>
    </w:p>
    <w:p>
      <w:pPr>
        <w:jc w:val="center"/>
      </w:pPr>
      <w:r>
        <w:t>Version 1.0 • 26 October 2026 • Prototype-first, evidence-led, configuration-driven</w:t>
      </w:r>
    </w:p>
    <w:p>
      <w:pPr>
        <w:pStyle w:val="Heading1"/>
      </w:pPr>
      <w:r>
        <w:t>Executive summary</w:t>
      </w:r>
    </w:p>
    <w:p>
      <w:r>
        <w:t>DepositGuard is a proposed evidence-driven FDR lifecycle assurance prototype designed to complement the documented AICTE workflow. It connects each institution and instrument record to its submitted documents, extracted fields, integrity checks, consistency findings, review decisions, maturity timeline and audit history. It does not claim to replace AICTE's existing process, independently prove fraud, or confirm a bank record without an authorised verification route.</w:t>
      </w:r>
    </w:p>
    <w:p>
      <w:r>
        <w:t>The core idea is not another CRUD dashboard and not a single AI-generated 'genuine/fake' label. DepositGuard presents what was checked, the evidence supporting each result, what remains uncertain, and what action an authorised reviewer should take next.</w:t>
      </w:r>
    </w:p>
    <w:p>
      <w:pPr>
        <w:pStyle w:val="Heading1"/>
      </w:pPr>
      <w:r>
        <w:t>1. Problem understanding and evidence boundary</w:t>
      </w:r>
    </w:p>
    <w:p>
      <w:r>
        <w:t>AICTE's published e-Governance RFP describes an online JFDR process for institutions to apply for refund of matured fixed deposits and track application progress. The Approval Process Handbook 2024–2027, Section 6.46, describes documents and clearances relevant to release of security deposits. Therefore, the project must not claim that AICTE has no online FDR portal, no application tracking, or a completely manual process.</w:t>
      </w:r>
    </w:p>
    <w:p>
      <w:r>
        <w:t>The exact features of the currently deployed authenticated portal have not been independently audited for this project. Instrument-level evidence linking, integrity/version history, automated consistency checks, and a downloadable verification dossier are proposed areas to prototype and evaluate—not proven gaps in the existing system.</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53F5C"/>
          </w:tcPr>
          <w:p>
            <w:r>
              <w:rPr>
                <w:b/>
                <w:color w:val="FFFFFF"/>
                <w:sz w:val="17"/>
              </w:rPr>
              <w:t>Evidence-backed baseline</w:t>
            </w:r>
          </w:p>
        </w:tc>
        <w:tc>
          <w:tcPr>
            <w:tcW w:type="dxa" w:w="3408"/>
            <w:shd w:fill="153F5C"/>
          </w:tcPr>
          <w:p>
            <w:r>
              <w:rPr>
                <w:b/>
                <w:color w:val="FFFFFF"/>
                <w:sz w:val="17"/>
              </w:rPr>
              <w:t>Proposed contribution</w:t>
            </w:r>
          </w:p>
        </w:tc>
        <w:tc>
          <w:tcPr>
            <w:tcW w:type="dxa" w:w="3408"/>
            <w:shd w:fill="153F5C"/>
          </w:tcPr>
          <w:p>
            <w:r>
              <w:rPr>
                <w:b/>
                <w:color w:val="FFFFFF"/>
                <w:sz w:val="17"/>
              </w:rPr>
              <w:t>Not claimed</w:t>
            </w:r>
          </w:p>
        </w:tc>
      </w:tr>
      <w:tr>
        <w:tc>
          <w:tcPr>
            <w:tcW w:type="dxa" w:w="3408"/>
            <w:vAlign w:val="center"/>
          </w:tcPr>
          <w:p>
            <w:r>
              <w:rPr>
                <w:sz w:val="16"/>
              </w:rPr>
              <w:t>Online matured-FD refund process and progress tracking are documented in the AICTE e-Governance RFP.</w:t>
            </w:r>
          </w:p>
        </w:tc>
        <w:tc>
          <w:tcPr>
            <w:tcW w:type="dxa" w:w="3408"/>
            <w:vAlign w:val="center"/>
          </w:tcPr>
          <w:p>
            <w:r>
              <w:rPr>
                <w:sz w:val="16"/>
              </w:rPr>
              <w:t>Evidence-linked instrument record connecting fields, documents, checks, reviewer decisions and lifecycle events.</w:t>
            </w:r>
          </w:p>
        </w:tc>
        <w:tc>
          <w:tcPr>
            <w:tcW w:type="dxa" w:w="3408"/>
            <w:vAlign w:val="center"/>
          </w:tcPr>
          <w:p>
            <w:r>
              <w:rPr>
                <w:sz w:val="16"/>
              </w:rPr>
              <w:t>That DepositGuard is the first FDR portal or replaces the AICTE portal.</w:t>
            </w:r>
          </w:p>
        </w:tc>
      </w:tr>
      <w:tr>
        <w:tc>
          <w:tcPr>
            <w:tcW w:type="dxa" w:w="3408"/>
            <w:vAlign w:val="center"/>
          </w:tcPr>
          <w:p>
            <w:r>
              <w:rPr>
                <w:sz w:val="16"/>
              </w:rPr>
              <w:t>The handbook describes supporting documents and required clearances for release.</w:t>
            </w:r>
          </w:p>
        </w:tc>
        <w:tc>
          <w:tcPr>
            <w:tcW w:type="dxa" w:w="3408"/>
            <w:vAlign w:val="center"/>
          </w:tcPr>
          <w:p>
            <w:r>
              <w:rPr>
                <w:sz w:val="16"/>
              </w:rPr>
              <w:t>Configurable rules and workflow checks that make missing evidence and unresolved items visible.</w:t>
            </w:r>
          </w:p>
        </w:tc>
        <w:tc>
          <w:tcPr>
            <w:tcW w:type="dxa" w:w="3408"/>
            <w:vAlign w:val="center"/>
          </w:tcPr>
          <w:p>
            <w:r>
              <w:rPr>
                <w:sz w:val="16"/>
              </w:rPr>
              <w:t>That the current portal lacks these capabilities.</w:t>
            </w:r>
          </w:p>
        </w:tc>
      </w:tr>
      <w:tr>
        <w:tc>
          <w:tcPr>
            <w:tcW w:type="dxa" w:w="3408"/>
            <w:vAlign w:val="center"/>
          </w:tcPr>
          <w:p>
            <w:r>
              <w:rPr>
                <w:sz w:val="16"/>
              </w:rPr>
              <w:t>No public AICTE-specific FDR dataset was identified in the survey.</w:t>
            </w:r>
          </w:p>
        </w:tc>
        <w:tc>
          <w:tcPr>
            <w:tcW w:type="dxa" w:w="3408"/>
            <w:vAlign w:val="center"/>
          </w:tcPr>
          <w:p>
            <w:r>
              <w:rPr>
                <w:sz w:val="16"/>
              </w:rPr>
              <w:t>Use clearly labelled synthetic records for reproducible functional tests and demo scenarios.</w:t>
            </w:r>
          </w:p>
        </w:tc>
        <w:tc>
          <w:tcPr>
            <w:tcW w:type="dxa" w:w="3408"/>
            <w:vAlign w:val="center"/>
          </w:tcPr>
          <w:p>
            <w:r>
              <w:rPr>
                <w:sz w:val="16"/>
              </w:rPr>
              <w:t>That synthetic testing proves real-world detection accuracy.</w:t>
            </w:r>
          </w:p>
        </w:tc>
      </w:tr>
    </w:tbl>
    <w:p/>
    <w:p>
      <w:pPr>
        <w:pStyle w:val="Heading1"/>
      </w:pPr>
      <w:r>
        <w:t>2. Users and roles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53F5C"/>
          </w:tcPr>
          <w:p>
            <w:r>
              <w:rPr>
                <w:b/>
                <w:color w:val="FFFFFF"/>
                <w:sz w:val="17"/>
              </w:rPr>
              <w:t>Role</w:t>
            </w:r>
          </w:p>
        </w:tc>
        <w:tc>
          <w:tcPr>
            <w:tcW w:type="dxa" w:w="3408"/>
            <w:shd w:fill="153F5C"/>
          </w:tcPr>
          <w:p>
            <w:r>
              <w:rPr>
                <w:b/>
                <w:color w:val="FFFFFF"/>
                <w:sz w:val="17"/>
              </w:rPr>
              <w:t>Core permissions</w:t>
            </w:r>
          </w:p>
        </w:tc>
        <w:tc>
          <w:tcPr>
            <w:tcW w:type="dxa" w:w="3408"/>
            <w:shd w:fill="153F5C"/>
          </w:tcPr>
          <w:p>
            <w:r>
              <w:rPr>
                <w:b/>
                <w:color w:val="FFFFFF"/>
                <w:sz w:val="17"/>
              </w:rPr>
              <w:t>Guardrails</w:t>
            </w:r>
          </w:p>
        </w:tc>
      </w:tr>
      <w:tr>
        <w:tc>
          <w:tcPr>
            <w:tcW w:type="dxa" w:w="3408"/>
            <w:vAlign w:val="center"/>
          </w:tcPr>
          <w:p>
            <w:r>
              <w:rPr>
                <w:sz w:val="16"/>
              </w:rPr>
              <w:t>Institution user</w:t>
            </w:r>
          </w:p>
        </w:tc>
        <w:tc>
          <w:tcPr>
            <w:tcW w:type="dxa" w:w="3408"/>
            <w:vAlign w:val="center"/>
          </w:tcPr>
          <w:p>
            <w:r>
              <w:rPr>
                <w:sz w:val="16"/>
              </w:rPr>
              <w:t>Create/update own institution's FDR records; submit required documents; respond to deficiencies; view own status.</w:t>
            </w:r>
          </w:p>
        </w:tc>
        <w:tc>
          <w:tcPr>
            <w:tcW w:type="dxa" w:w="3408"/>
            <w:vAlign w:val="center"/>
          </w:tcPr>
          <w:p>
            <w:r>
              <w:rPr>
                <w:sz w:val="16"/>
              </w:rPr>
              <w:t>Cannot access other institutions; cannot approve/release own request.</w:t>
            </w:r>
          </w:p>
        </w:tc>
      </w:tr>
      <w:tr>
        <w:tc>
          <w:tcPr>
            <w:tcW w:type="dxa" w:w="3408"/>
            <w:vAlign w:val="center"/>
          </w:tcPr>
          <w:p>
            <w:r>
              <w:rPr>
                <w:sz w:val="16"/>
              </w:rPr>
              <w:t>Review officer</w:t>
            </w:r>
          </w:p>
        </w:tc>
        <w:tc>
          <w:tcPr>
            <w:tcW w:type="dxa" w:w="3408"/>
            <w:vAlign w:val="center"/>
          </w:tcPr>
          <w:p>
            <w:r>
              <w:rPr>
                <w:sz w:val="16"/>
              </w:rPr>
              <w:t>Review assigned records; inspect evidence; request clarification; record review outcomes and reasons.</w:t>
            </w:r>
          </w:p>
        </w:tc>
        <w:tc>
          <w:tcPr>
            <w:tcW w:type="dxa" w:w="3408"/>
            <w:vAlign w:val="center"/>
          </w:tcPr>
          <w:p>
            <w:r>
              <w:rPr>
                <w:sz w:val="16"/>
              </w:rPr>
              <w:t>Cannot bypass mandatory clearances or erase history.</w:t>
            </w:r>
          </w:p>
        </w:tc>
      </w:tr>
      <w:tr>
        <w:tc>
          <w:tcPr>
            <w:tcW w:type="dxa" w:w="3408"/>
            <w:vAlign w:val="center"/>
          </w:tcPr>
          <w:p>
            <w:r>
              <w:rPr>
                <w:sz w:val="16"/>
              </w:rPr>
              <w:t>Authorised approver</w:t>
            </w:r>
          </w:p>
        </w:tc>
        <w:tc>
          <w:tcPr>
            <w:tcW w:type="dxa" w:w="3408"/>
            <w:vAlign w:val="center"/>
          </w:tcPr>
          <w:p>
            <w:r>
              <w:rPr>
                <w:sz w:val="16"/>
              </w:rPr>
              <w:t>Record authorised workflow decisions after required checks/clearances.</w:t>
            </w:r>
          </w:p>
        </w:tc>
        <w:tc>
          <w:tcPr>
            <w:tcW w:type="dxa" w:w="3408"/>
            <w:vAlign w:val="center"/>
          </w:tcPr>
          <w:p>
            <w:r>
              <w:rPr>
                <w:sz w:val="16"/>
              </w:rPr>
              <w:t>Human decision required; no automatic release from OCR/hash/ML output.</w:t>
            </w:r>
          </w:p>
        </w:tc>
      </w:tr>
      <w:tr>
        <w:tc>
          <w:tcPr>
            <w:tcW w:type="dxa" w:w="3408"/>
            <w:vAlign w:val="center"/>
          </w:tcPr>
          <w:p>
            <w:r>
              <w:rPr>
                <w:sz w:val="16"/>
              </w:rPr>
              <w:t>System administrator</w:t>
            </w:r>
          </w:p>
        </w:tc>
        <w:tc>
          <w:tcPr>
            <w:tcW w:type="dxa" w:w="3408"/>
            <w:vAlign w:val="center"/>
          </w:tcPr>
          <w:p>
            <w:r>
              <w:rPr>
                <w:sz w:val="16"/>
              </w:rPr>
              <w:t>Manage users, roles and approved configuration; view operational health.</w:t>
            </w:r>
          </w:p>
        </w:tc>
        <w:tc>
          <w:tcPr>
            <w:tcW w:type="dxa" w:w="3408"/>
            <w:vAlign w:val="center"/>
          </w:tcPr>
          <w:p>
            <w:r>
              <w:rPr>
                <w:sz w:val="16"/>
              </w:rPr>
              <w:t>Configuration changes are validated, permission-checked and audited.</w:t>
            </w:r>
          </w:p>
        </w:tc>
      </w:tr>
      <w:tr>
        <w:tc>
          <w:tcPr>
            <w:tcW w:type="dxa" w:w="3408"/>
            <w:vAlign w:val="center"/>
          </w:tcPr>
          <w:p>
            <w:r>
              <w:rPr>
                <w:sz w:val="16"/>
              </w:rPr>
              <w:t>Demo/auditor view (optional)</w:t>
            </w:r>
          </w:p>
        </w:tc>
        <w:tc>
          <w:tcPr>
            <w:tcW w:type="dxa" w:w="3408"/>
            <w:vAlign w:val="center"/>
          </w:tcPr>
          <w:p>
            <w:r>
              <w:rPr>
                <w:sz w:val="16"/>
              </w:rPr>
              <w:t>View synthetic demonstration records and evidence dossier.</w:t>
            </w:r>
          </w:p>
        </w:tc>
        <w:tc>
          <w:tcPr>
            <w:tcW w:type="dxa" w:w="3408"/>
            <w:vAlign w:val="center"/>
          </w:tcPr>
          <w:p>
            <w:r>
              <w:rPr>
                <w:sz w:val="16"/>
              </w:rPr>
              <w:t>Read-only; synthetic/demo banner always visible.</w:t>
            </w:r>
          </w:p>
        </w:tc>
      </w:tr>
    </w:tbl>
    <w:p/>
    <w:p>
      <w:pPr>
        <w:pStyle w:val="Heading1"/>
      </w:pPr>
      <w:r>
        <w:t>3. Proposed solution modules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53F5C"/>
          </w:tcPr>
          <w:p>
            <w:r>
              <w:rPr>
                <w:b/>
                <w:color w:val="FFFFFF"/>
                <w:sz w:val="17"/>
              </w:rPr>
              <w:t>Module</w:t>
            </w:r>
          </w:p>
        </w:tc>
        <w:tc>
          <w:tcPr>
            <w:tcW w:type="dxa" w:w="3408"/>
            <w:shd w:fill="153F5C"/>
          </w:tcPr>
          <w:p>
            <w:r>
              <w:rPr>
                <w:b/>
                <w:color w:val="FFFFFF"/>
                <w:sz w:val="17"/>
              </w:rPr>
              <w:t>Responsibilities</w:t>
            </w:r>
          </w:p>
        </w:tc>
        <w:tc>
          <w:tcPr>
            <w:tcW w:type="dxa" w:w="3408"/>
            <w:shd w:fill="153F5C"/>
          </w:tcPr>
          <w:p>
            <w:r>
              <w:rPr>
                <w:b/>
                <w:color w:val="FFFFFF"/>
                <w:sz w:val="17"/>
              </w:rPr>
              <w:t>MVP acceptance outcome</w:t>
            </w:r>
          </w:p>
        </w:tc>
      </w:tr>
      <w:tr>
        <w:tc>
          <w:tcPr>
            <w:tcW w:type="dxa" w:w="3408"/>
            <w:vAlign w:val="center"/>
          </w:tcPr>
          <w:p>
            <w:r>
              <w:rPr>
                <w:sz w:val="16"/>
              </w:rPr>
              <w:t>A. Secure FDR Registry</w:t>
            </w:r>
          </w:p>
        </w:tc>
        <w:tc>
          <w:tcPr>
            <w:tcW w:type="dxa" w:w="3408"/>
            <w:vAlign w:val="center"/>
          </w:tcPr>
          <w:p>
            <w:r>
              <w:rPr>
                <w:sz w:val="16"/>
              </w:rPr>
              <w:t>Institution-scoped instrument records; metadata; document inventory; version history.</w:t>
            </w:r>
          </w:p>
        </w:tc>
        <w:tc>
          <w:tcPr>
            <w:tcW w:type="dxa" w:w="3408"/>
            <w:vAlign w:val="center"/>
          </w:tcPr>
          <w:p>
            <w:r>
              <w:rPr>
                <w:sz w:val="16"/>
              </w:rPr>
              <w:t>Create, view, update and archive a record; enforce institution isolation on API and file downloads.</w:t>
            </w:r>
          </w:p>
        </w:tc>
      </w:tr>
      <w:tr>
        <w:tc>
          <w:tcPr>
            <w:tcW w:type="dxa" w:w="3408"/>
            <w:vAlign w:val="center"/>
          </w:tcPr>
          <w:p>
            <w:r>
              <w:rPr>
                <w:sz w:val="16"/>
              </w:rPr>
              <w:t>B. Evidence-Based Verification</w:t>
            </w:r>
          </w:p>
        </w:tc>
        <w:tc>
          <w:tcPr>
            <w:tcW w:type="dxa" w:w="3408"/>
            <w:vAlign w:val="center"/>
          </w:tcPr>
          <w:p>
            <w:r>
              <w:rPr>
                <w:sz w:val="16"/>
              </w:rPr>
              <w:t>SHA-256 per uploaded version; extraction of selected fields; cross-field/document checks; cautious duplicate flags; applicable PDF signature validation.</w:t>
            </w:r>
          </w:p>
        </w:tc>
        <w:tc>
          <w:tcPr>
            <w:tcW w:type="dxa" w:w="3408"/>
            <w:vAlign w:val="center"/>
          </w:tcPr>
          <w:p>
            <w:r>
              <w:rPr>
                <w:sz w:val="16"/>
              </w:rPr>
              <w:t>Known test mismatch is flagged with source value, extracted/submitted value, evidence location and outcome.</w:t>
            </w:r>
          </w:p>
        </w:tc>
      </w:tr>
      <w:tr>
        <w:tc>
          <w:tcPr>
            <w:tcW w:type="dxa" w:w="3408"/>
            <w:vAlign w:val="center"/>
          </w:tcPr>
          <w:p>
            <w:r>
              <w:rPr>
                <w:sz w:val="16"/>
              </w:rPr>
              <w:t>C. Lifecycle &amp; Compliance</w:t>
            </w:r>
          </w:p>
        </w:tc>
        <w:tc>
          <w:tcPr>
            <w:tcW w:type="dxa" w:w="3408"/>
            <w:vAlign w:val="center"/>
          </w:tcPr>
          <w:p>
            <w:r>
              <w:rPr>
                <w:sz w:val="16"/>
              </w:rPr>
              <w:t>Maturity dates; pending tasks; configurable reminder windows; deficiency/resubmission; permitted workflow transitions.</w:t>
            </w:r>
          </w:p>
        </w:tc>
        <w:tc>
          <w:tcPr>
            <w:tcW w:type="dxa" w:w="3408"/>
            <w:vAlign w:val="center"/>
          </w:tcPr>
          <w:p>
            <w:r>
              <w:rPr>
                <w:sz w:val="16"/>
              </w:rPr>
              <w:t>Upcoming/overdue records appear from database dates; blocked transitions are rejected by backend.</w:t>
            </w:r>
          </w:p>
        </w:tc>
      </w:tr>
      <w:tr>
        <w:tc>
          <w:tcPr>
            <w:tcW w:type="dxa" w:w="3408"/>
            <w:vAlign w:val="center"/>
          </w:tcPr>
          <w:p>
            <w:r>
              <w:rPr>
                <w:sz w:val="16"/>
              </w:rPr>
              <w:t>D. Decision &amp; Audit Centre</w:t>
            </w:r>
          </w:p>
        </w:tc>
        <w:tc>
          <w:tcPr>
            <w:tcW w:type="dxa" w:w="3408"/>
            <w:vAlign w:val="center"/>
          </w:tcPr>
          <w:p>
            <w:r>
              <w:rPr>
                <w:sz w:val="16"/>
              </w:rPr>
              <w:t>Role-based review queue; reasoned decisions; event history; downloadable verification dossier.</w:t>
            </w:r>
          </w:p>
        </w:tc>
        <w:tc>
          <w:tcPr>
            <w:tcW w:type="dxa" w:w="3408"/>
            <w:vAlign w:val="center"/>
          </w:tcPr>
          <w:p>
            <w:r>
              <w:rPr>
                <w:sz w:val="16"/>
              </w:rPr>
              <w:t>Dossier contains only checks actually run, timestamps, evidence references, limitations and human decisions.</w:t>
            </w:r>
          </w:p>
        </w:tc>
      </w:tr>
    </w:tbl>
    <w:p/>
    <w:p>
      <w:pPr>
        <w:pStyle w:val="Heading1"/>
      </w:pPr>
      <w:r>
        <w:t>4. Verification model: separate signals, never one magic tick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53F5C"/>
          </w:tcPr>
          <w:p>
            <w:r>
              <w:rPr>
                <w:b/>
                <w:color w:val="FFFFFF"/>
                <w:sz w:val="17"/>
              </w:rPr>
              <w:t>Signal</w:t>
            </w:r>
          </w:p>
        </w:tc>
        <w:tc>
          <w:tcPr>
            <w:tcW w:type="dxa" w:w="3408"/>
            <w:shd w:fill="153F5C"/>
          </w:tcPr>
          <w:p>
            <w:r>
              <w:rPr>
                <w:b/>
                <w:color w:val="FFFFFF"/>
                <w:sz w:val="17"/>
              </w:rPr>
              <w:t>Possible outcomes</w:t>
            </w:r>
          </w:p>
        </w:tc>
        <w:tc>
          <w:tcPr>
            <w:tcW w:type="dxa" w:w="3408"/>
            <w:shd w:fill="153F5C"/>
          </w:tcPr>
          <w:p>
            <w:r>
              <w:rPr>
                <w:b/>
                <w:color w:val="FFFFFF"/>
                <w:sz w:val="17"/>
              </w:rPr>
              <w:t>Interpretation / limitation</w:t>
            </w:r>
          </w:p>
        </w:tc>
      </w:tr>
      <w:tr>
        <w:tc>
          <w:tcPr>
            <w:tcW w:type="dxa" w:w="3408"/>
            <w:vAlign w:val="center"/>
          </w:tcPr>
          <w:p>
            <w:r>
              <w:rPr>
                <w:sz w:val="16"/>
              </w:rPr>
              <w:t>File integrity (SHA-256)</w:t>
            </w:r>
          </w:p>
        </w:tc>
        <w:tc>
          <w:tcPr>
            <w:tcW w:type="dxa" w:w="3408"/>
            <w:vAlign w:val="center"/>
          </w:tcPr>
          <w:p>
            <w:r>
              <w:rPr>
                <w:sz w:val="16"/>
              </w:rPr>
              <w:t>MATCHES_RECORDED_HASH / HASH_MISMATCH / NOT_CHECKED</w:t>
            </w:r>
          </w:p>
        </w:tc>
        <w:tc>
          <w:tcPr>
            <w:tcW w:type="dxa" w:w="3408"/>
            <w:vAlign w:val="center"/>
          </w:tcPr>
          <w:p>
            <w:r>
              <w:rPr>
                <w:sz w:val="16"/>
              </w:rPr>
              <w:t>Detects change relative to a stored digest. Does not prove original authenticity or correctness.</w:t>
            </w:r>
          </w:p>
        </w:tc>
      </w:tr>
      <w:tr>
        <w:tc>
          <w:tcPr>
            <w:tcW w:type="dxa" w:w="3408"/>
            <w:vAlign w:val="center"/>
          </w:tcPr>
          <w:p>
            <w:r>
              <w:rPr>
                <w:sz w:val="16"/>
              </w:rPr>
              <w:t>PDF signature (conditional)</w:t>
            </w:r>
          </w:p>
        </w:tc>
        <w:tc>
          <w:tcPr>
            <w:tcW w:type="dxa" w:w="3408"/>
            <w:vAlign w:val="center"/>
          </w:tcPr>
          <w:p>
            <w:r>
              <w:rPr>
                <w:sz w:val="16"/>
              </w:rPr>
              <w:t>VALID_UNDER_CONFIGURED_TRUST / CRYPTOGRAPHIC_FAILURE / NOT_PRESENT / TRUST_INDETERMINATE / NOT_COMPLETED</w:t>
            </w:r>
          </w:p>
        </w:tc>
        <w:tc>
          <w:tcPr>
            <w:tcW w:type="dxa" w:w="3408"/>
            <w:vAlign w:val="center"/>
          </w:tcPr>
          <w:p>
            <w:r>
              <w:rPr>
                <w:sz w:val="16"/>
              </w:rPr>
              <w:t>Run only when supported; signature validity does not prove that a bank's underlying FDR exists.</w:t>
            </w:r>
          </w:p>
        </w:tc>
      </w:tr>
      <w:tr>
        <w:tc>
          <w:tcPr>
            <w:tcW w:type="dxa" w:w="3408"/>
            <w:vAlign w:val="center"/>
          </w:tcPr>
          <w:p>
            <w:r>
              <w:rPr>
                <w:sz w:val="16"/>
              </w:rPr>
              <w:t>Field extraction</w:t>
            </w:r>
          </w:p>
        </w:tc>
        <w:tc>
          <w:tcPr>
            <w:tcW w:type="dxa" w:w="3408"/>
            <w:vAlign w:val="center"/>
          </w:tcPr>
          <w:p>
            <w:r>
              <w:rPr>
                <w:sz w:val="16"/>
              </w:rPr>
              <w:t>EXTRACTED / LOW_CONFIDENCE / NEEDS_MANUAL_ENTRY / FAILED</w:t>
            </w:r>
          </w:p>
        </w:tc>
        <w:tc>
          <w:tcPr>
            <w:tcW w:type="dxa" w:w="3408"/>
            <w:vAlign w:val="center"/>
          </w:tcPr>
          <w:p>
            <w:r>
              <w:rPr>
                <w:sz w:val="16"/>
              </w:rPr>
              <w:t>Store source document, page/location when available, confidence and reviewer-corrected value.</w:t>
            </w:r>
          </w:p>
        </w:tc>
      </w:tr>
      <w:tr>
        <w:tc>
          <w:tcPr>
            <w:tcW w:type="dxa" w:w="3408"/>
            <w:vAlign w:val="center"/>
          </w:tcPr>
          <w:p>
            <w:r>
              <w:rPr>
                <w:sz w:val="16"/>
              </w:rPr>
              <w:t>Consistency rules</w:t>
            </w:r>
          </w:p>
        </w:tc>
        <w:tc>
          <w:tcPr>
            <w:tcW w:type="dxa" w:w="3408"/>
            <w:vAlign w:val="center"/>
          </w:tcPr>
          <w:p>
            <w:r>
              <w:rPr>
                <w:sz w:val="16"/>
              </w:rPr>
              <w:t>PASS / MISMATCH / MISSING_EVIDENCE / NOT_APPLICABLE / NOT_RUN</w:t>
            </w:r>
          </w:p>
        </w:tc>
        <w:tc>
          <w:tcPr>
            <w:tcW w:type="dxa" w:w="3408"/>
            <w:vAlign w:val="center"/>
          </w:tcPr>
          <w:p>
            <w:r>
              <w:rPr>
                <w:sz w:val="16"/>
              </w:rPr>
              <w:t>Compare entered values and extracted evidence; rule/version and compared values must be traceable.</w:t>
            </w:r>
          </w:p>
        </w:tc>
      </w:tr>
      <w:tr>
        <w:tc>
          <w:tcPr>
            <w:tcW w:type="dxa" w:w="3408"/>
            <w:vAlign w:val="center"/>
          </w:tcPr>
          <w:p>
            <w:r>
              <w:rPr>
                <w:sz w:val="16"/>
              </w:rPr>
              <w:t>Duplicate/anomaly signal</w:t>
            </w:r>
          </w:p>
        </w:tc>
        <w:tc>
          <w:tcPr>
            <w:tcW w:type="dxa" w:w="3408"/>
            <w:vAlign w:val="center"/>
          </w:tcPr>
          <w:p>
            <w:r>
              <w:rPr>
                <w:sz w:val="16"/>
              </w:rPr>
              <w:t>NO_MATCH_FOUND / POSSIBLE_DUPLICATE / REVIEW_REQUIRED</w:t>
            </w:r>
          </w:p>
        </w:tc>
        <w:tc>
          <w:tcPr>
            <w:tcW w:type="dxa" w:w="3408"/>
            <w:vAlign w:val="center"/>
          </w:tcPr>
          <w:p>
            <w:r>
              <w:rPr>
                <w:sz w:val="16"/>
              </w:rPr>
              <w:t>A duplicate or anomaly is a review signal, not proof of fraud.</w:t>
            </w:r>
          </w:p>
        </w:tc>
      </w:tr>
      <w:tr>
        <w:tc>
          <w:tcPr>
            <w:tcW w:type="dxa" w:w="3408"/>
            <w:vAlign w:val="center"/>
          </w:tcPr>
          <w:p>
            <w:r>
              <w:rPr>
                <w:sz w:val="16"/>
              </w:rPr>
              <w:t>Bank confirmation</w:t>
            </w:r>
          </w:p>
        </w:tc>
        <w:tc>
          <w:tcPr>
            <w:tcW w:type="dxa" w:w="3408"/>
            <w:vAlign w:val="center"/>
          </w:tcPr>
          <w:p>
            <w:r>
              <w:rPr>
                <w:sz w:val="16"/>
              </w:rPr>
              <w:t>LIVE_AUTHORISED / MANUAL_EVIDENCE_RECORDED / DEMO_SIMULATED / PENDING / UNAVAILABLE</w:t>
            </w:r>
          </w:p>
        </w:tc>
        <w:tc>
          <w:tcPr>
            <w:tcW w:type="dxa" w:w="3408"/>
            <w:vAlign w:val="center"/>
          </w:tcPr>
          <w:p>
            <w:r>
              <w:rPr>
                <w:sz w:val="16"/>
              </w:rPr>
              <w:t>Never label simulated or unverified results as live bank confirmation.</w:t>
            </w:r>
          </w:p>
        </w:tc>
      </w:tr>
      <w:tr>
        <w:tc>
          <w:tcPr>
            <w:tcW w:type="dxa" w:w="3408"/>
            <w:vAlign w:val="center"/>
          </w:tcPr>
          <w:p>
            <w:r>
              <w:rPr>
                <w:sz w:val="16"/>
              </w:rPr>
              <w:t>Human review</w:t>
            </w:r>
          </w:p>
        </w:tc>
        <w:tc>
          <w:tcPr>
            <w:tcW w:type="dxa" w:w="3408"/>
            <w:vAlign w:val="center"/>
          </w:tcPr>
          <w:p>
            <w:r>
              <w:rPr>
                <w:sz w:val="16"/>
              </w:rPr>
              <w:t>PENDING / CLARIFICATION_REQUESTED / CLEARED / ESCALATED / REJECTED_WITH_REASON</w:t>
            </w:r>
          </w:p>
        </w:tc>
        <w:tc>
          <w:tcPr>
            <w:tcW w:type="dxa" w:w="3408"/>
            <w:vAlign w:val="center"/>
          </w:tcPr>
          <w:p>
            <w:r>
              <w:rPr>
                <w:sz w:val="16"/>
              </w:rPr>
              <w:t>Only authorised human actors make regulated workflow decisions.</w:t>
            </w:r>
          </w:p>
        </w:tc>
      </w:tr>
    </w:tbl>
    <w:p/>
    <w:p>
      <w:r>
        <w:t>The user interface must display the individual check outcomes, evidence, timestamps and limitations. Avoid a single green 'authentic' badge. Any summary status must be derived from the underlying checks and must not overstate certainty.</w:t>
      </w:r>
    </w:p>
    <w:p>
      <w:pPr>
        <w:pStyle w:val="Heading1"/>
      </w:pPr>
      <w:r>
        <w:t>5. Golden Rule #1 — no hardcoded business behaviour</w:t>
      </w:r>
    </w:p>
    <w:p>
      <w:r>
        <w:t>Non-negotiable: business rules, process requirements, thresholds, statuses, reminder timing, document checklists, institution settings, role permissions and workflow transitions must be data/configuration-driven wherever practical. Do not scatter business constants across frontend components, API handlers or verification functions.</w:t>
      </w:r>
    </w:p>
    <w:p>
      <w:pPr>
        <w:pStyle w:val="ListBullet"/>
      </w:pPr>
      <w:r>
        <w:t>Store document requirements and policy rules in validated database-backed configuration or versioned configuration files.</w:t>
      </w:r>
    </w:p>
    <w:p>
      <w:pPr>
        <w:pStyle w:val="ListBullet"/>
      </w:pPr>
      <w:r>
        <w:t>Give each rule/configuration a stable ID, version, effective date, enabled/disabled state, source reference and audit trail.</w:t>
      </w:r>
    </w:p>
    <w:p>
      <w:pPr>
        <w:pStyle w:val="ListBullet"/>
      </w:pPr>
      <w:r>
        <w:t>Load configurable reminder windows and escalation policies from configuration; do not hardcode dates or thresholds into the UI.</w:t>
      </w:r>
    </w:p>
    <w:p>
      <w:pPr>
        <w:pStyle w:val="ListBullet"/>
      </w:pPr>
      <w:r>
        <w:t>Centralise role/permission checks and workflow transitions; enforce them server-side on every endpoint.</w:t>
      </w:r>
    </w:p>
    <w:p>
      <w:pPr>
        <w:pStyle w:val="ListBullet"/>
      </w:pPr>
      <w:r>
        <w:t>Keep institution, bank, FDR and dashboard data in the database; do not embed sample records or KPI counts in the frontend.</w:t>
      </w:r>
    </w:p>
    <w:p>
      <w:pPr>
        <w:pStyle w:val="ListBullet"/>
      </w:pPr>
      <w:r>
        <w:t>Use environment variables for secrets and runtime settings; never commit credentials, private keys, tokens or real financial data.</w:t>
      </w:r>
    </w:p>
    <w:p>
      <w:pPr>
        <w:pStyle w:val="ListBullet"/>
      </w:pPr>
      <w:r>
        <w:t>Provide explicit safe failure states when configuration is missing or invalid; do not silently invent a policy default.</w:t>
      </w:r>
    </w:p>
    <w:p>
      <w:pPr>
        <w:pStyle w:val="ListBullet"/>
      </w:pPr>
      <w:r>
        <w:t>Fixed technical invariants (for example SHA-256 implementation and database constraints) may remain in code when appropriate.</w:t>
      </w:r>
    </w:p>
    <w:p>
      <w:r>
        <w:t>Every configurable rule must have a test proving that changing the configuration changes application behaviour without a source-code edit. Only authorised users may change configuration, and changes must be validated and audited.</w:t>
      </w:r>
    </w:p>
    <w:p>
      <w:pPr>
        <w:pStyle w:val="Heading1"/>
      </w:pPr>
      <w:r>
        <w:t>6. Recommended technical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53F5C"/>
          </w:tcPr>
          <w:p>
            <w:r>
              <w:rPr>
                <w:b/>
                <w:color w:val="FFFFFF"/>
                <w:sz w:val="17"/>
              </w:rPr>
              <w:t>Layer</w:t>
            </w:r>
          </w:p>
        </w:tc>
        <w:tc>
          <w:tcPr>
            <w:tcW w:type="dxa" w:w="3408"/>
            <w:shd w:fill="153F5C"/>
          </w:tcPr>
          <w:p>
            <w:r>
              <w:rPr>
                <w:b/>
                <w:color w:val="FFFFFF"/>
                <w:sz w:val="17"/>
              </w:rPr>
              <w:t>Choice</w:t>
            </w:r>
          </w:p>
        </w:tc>
        <w:tc>
          <w:tcPr>
            <w:tcW w:type="dxa" w:w="3408"/>
            <w:shd w:fill="153F5C"/>
          </w:tcPr>
          <w:p>
            <w:r>
              <w:rPr>
                <w:b/>
                <w:color w:val="FFFFFF"/>
                <w:sz w:val="17"/>
              </w:rPr>
              <w:t>Implementation note</w:t>
            </w:r>
          </w:p>
        </w:tc>
      </w:tr>
      <w:tr>
        <w:tc>
          <w:tcPr>
            <w:tcW w:type="dxa" w:w="3408"/>
            <w:vAlign w:val="center"/>
          </w:tcPr>
          <w:p>
            <w:r>
              <w:rPr>
                <w:sz w:val="16"/>
              </w:rPr>
              <w:t>Frontend</w:t>
            </w:r>
          </w:p>
        </w:tc>
        <w:tc>
          <w:tcPr>
            <w:tcW w:type="dxa" w:w="3408"/>
            <w:vAlign w:val="center"/>
          </w:tcPr>
          <w:p>
            <w:r>
              <w:rPr>
                <w:sz w:val="16"/>
              </w:rPr>
              <w:t>React + Vite + TypeScript</w:t>
            </w:r>
          </w:p>
        </w:tc>
        <w:tc>
          <w:tcPr>
            <w:tcW w:type="dxa" w:w="3408"/>
            <w:vAlign w:val="center"/>
          </w:tcPr>
          <w:p>
            <w:r>
              <w:rPr>
                <w:sz w:val="16"/>
              </w:rPr>
              <w:t>Accessible responsive interface; reusable components; no business policy logic duplicated in UI.</w:t>
            </w:r>
          </w:p>
        </w:tc>
      </w:tr>
      <w:tr>
        <w:tc>
          <w:tcPr>
            <w:tcW w:type="dxa" w:w="3408"/>
            <w:vAlign w:val="center"/>
          </w:tcPr>
          <w:p>
            <w:r>
              <w:rPr>
                <w:sz w:val="16"/>
              </w:rPr>
              <w:t>UI styling</w:t>
            </w:r>
          </w:p>
        </w:tc>
        <w:tc>
          <w:tcPr>
            <w:tcW w:type="dxa" w:w="3408"/>
            <w:vAlign w:val="center"/>
          </w:tcPr>
          <w:p>
            <w:r>
              <w:rPr>
                <w:sz w:val="16"/>
              </w:rPr>
              <w:t>Tailwind CSS plus a consistent accessible component library</w:t>
            </w:r>
          </w:p>
        </w:tc>
        <w:tc>
          <w:tcPr>
            <w:tcW w:type="dxa" w:w="3408"/>
            <w:vAlign w:val="center"/>
          </w:tcPr>
          <w:p>
            <w:r>
              <w:rPr>
                <w:sz w:val="16"/>
              </w:rPr>
              <w:t>Choose one library and use it consistently; avoid one-off styles.</w:t>
            </w:r>
          </w:p>
        </w:tc>
      </w:tr>
      <w:tr>
        <w:tc>
          <w:tcPr>
            <w:tcW w:type="dxa" w:w="3408"/>
            <w:vAlign w:val="center"/>
          </w:tcPr>
          <w:p>
            <w:r>
              <w:rPr>
                <w:sz w:val="16"/>
              </w:rPr>
              <w:t>Charts</w:t>
            </w:r>
          </w:p>
        </w:tc>
        <w:tc>
          <w:tcPr>
            <w:tcW w:type="dxa" w:w="3408"/>
            <w:vAlign w:val="center"/>
          </w:tcPr>
          <w:p>
            <w:r>
              <w:rPr>
                <w:sz w:val="16"/>
              </w:rPr>
              <w:t>Recharts (optional)</w:t>
            </w:r>
          </w:p>
        </w:tc>
        <w:tc>
          <w:tcPr>
            <w:tcW w:type="dxa" w:w="3408"/>
            <w:vAlign w:val="center"/>
          </w:tcPr>
          <w:p>
            <w:r>
              <w:rPr>
                <w:sz w:val="16"/>
              </w:rPr>
              <w:t>All counts/plots must come from API/database data.</w:t>
            </w:r>
          </w:p>
        </w:tc>
      </w:tr>
      <w:tr>
        <w:tc>
          <w:tcPr>
            <w:tcW w:type="dxa" w:w="3408"/>
            <w:vAlign w:val="center"/>
          </w:tcPr>
          <w:p>
            <w:r>
              <w:rPr>
                <w:sz w:val="16"/>
              </w:rPr>
              <w:t>Backend API</w:t>
            </w:r>
          </w:p>
        </w:tc>
        <w:tc>
          <w:tcPr>
            <w:tcW w:type="dxa" w:w="3408"/>
            <w:vAlign w:val="center"/>
          </w:tcPr>
          <w:p>
            <w:r>
              <w:rPr>
                <w:sz w:val="16"/>
              </w:rPr>
              <w:t>Python + FastAPI</w:t>
            </w:r>
          </w:p>
        </w:tc>
        <w:tc>
          <w:tcPr>
            <w:tcW w:type="dxa" w:w="3408"/>
            <w:vAlign w:val="center"/>
          </w:tcPr>
          <w:p>
            <w:r>
              <w:rPr>
                <w:sz w:val="16"/>
              </w:rPr>
              <w:t>Modular monolith; validation via typed request/response models.</w:t>
            </w:r>
          </w:p>
        </w:tc>
      </w:tr>
      <w:tr>
        <w:tc>
          <w:tcPr>
            <w:tcW w:type="dxa" w:w="3408"/>
            <w:vAlign w:val="center"/>
          </w:tcPr>
          <w:p>
            <w:r>
              <w:rPr>
                <w:sz w:val="16"/>
              </w:rPr>
              <w:t>Persistence</w:t>
            </w:r>
          </w:p>
        </w:tc>
        <w:tc>
          <w:tcPr>
            <w:tcW w:type="dxa" w:w="3408"/>
            <w:vAlign w:val="center"/>
          </w:tcPr>
          <w:p>
            <w:r>
              <w:rPr>
                <w:sz w:val="16"/>
              </w:rPr>
              <w:t>SQLAlchemy + SQLite for local prototype</w:t>
            </w:r>
          </w:p>
        </w:tc>
        <w:tc>
          <w:tcPr>
            <w:tcW w:type="dxa" w:w="3408"/>
            <w:vAlign w:val="center"/>
          </w:tcPr>
          <w:p>
            <w:r>
              <w:rPr>
                <w:sz w:val="16"/>
              </w:rPr>
              <w:t>No Docker required; keep migrations/schema evolution documented. A production database is a deployment decision.</w:t>
            </w:r>
          </w:p>
        </w:tc>
      </w:tr>
      <w:tr>
        <w:tc>
          <w:tcPr>
            <w:tcW w:type="dxa" w:w="3408"/>
            <w:vAlign w:val="center"/>
          </w:tcPr>
          <w:p>
            <w:r>
              <w:rPr>
                <w:sz w:val="16"/>
              </w:rPr>
              <w:t>Document storage</w:t>
            </w:r>
          </w:p>
        </w:tc>
        <w:tc>
          <w:tcPr>
            <w:tcW w:type="dxa" w:w="3408"/>
            <w:vAlign w:val="center"/>
          </w:tcPr>
          <w:p>
            <w:r>
              <w:rPr>
                <w:sz w:val="16"/>
              </w:rPr>
              <w:t>Local private storage outside public static folder for prototype</w:t>
            </w:r>
          </w:p>
        </w:tc>
        <w:tc>
          <w:tcPr>
            <w:tcW w:type="dxa" w:w="3408"/>
            <w:vAlign w:val="center"/>
          </w:tcPr>
          <w:p>
            <w:r>
              <w:rPr>
                <w:sz w:val="16"/>
              </w:rPr>
              <w:t>Random server-generated filenames, allowlist, file-size limit, content-type/signature checks and authorised downloads.</w:t>
            </w:r>
          </w:p>
        </w:tc>
      </w:tr>
      <w:tr>
        <w:tc>
          <w:tcPr>
            <w:tcW w:type="dxa" w:w="3408"/>
            <w:vAlign w:val="center"/>
          </w:tcPr>
          <w:p>
            <w:r>
              <w:rPr>
                <w:sz w:val="16"/>
              </w:rPr>
              <w:t>Integrity</w:t>
            </w:r>
          </w:p>
        </w:tc>
        <w:tc>
          <w:tcPr>
            <w:tcW w:type="dxa" w:w="3408"/>
            <w:vAlign w:val="center"/>
          </w:tcPr>
          <w:p>
            <w:r>
              <w:rPr>
                <w:sz w:val="16"/>
              </w:rPr>
              <w:t>Python hashlib SHA-256</w:t>
            </w:r>
          </w:p>
        </w:tc>
        <w:tc>
          <w:tcPr>
            <w:tcW w:type="dxa" w:w="3408"/>
            <w:vAlign w:val="center"/>
          </w:tcPr>
          <w:p>
            <w:r>
              <w:rPr>
                <w:sz w:val="16"/>
              </w:rPr>
              <w:t>Hash each version at intake and re-check on demand.</w:t>
            </w:r>
          </w:p>
        </w:tc>
      </w:tr>
      <w:tr>
        <w:tc>
          <w:tcPr>
            <w:tcW w:type="dxa" w:w="3408"/>
            <w:vAlign w:val="center"/>
          </w:tcPr>
          <w:p>
            <w:r>
              <w:rPr>
                <w:sz w:val="16"/>
              </w:rPr>
              <w:t>PDF signatures</w:t>
            </w:r>
          </w:p>
        </w:tc>
        <w:tc>
          <w:tcPr>
            <w:tcW w:type="dxa" w:w="3408"/>
            <w:vAlign w:val="center"/>
          </w:tcPr>
          <w:p>
            <w:r>
              <w:rPr>
                <w:sz w:val="16"/>
              </w:rPr>
              <w:t>pyHanko, conditional on supported test PDFs</w:t>
            </w:r>
          </w:p>
        </w:tc>
        <w:tc>
          <w:tcPr>
            <w:tcW w:type="dxa" w:w="3408"/>
            <w:vAlign w:val="center"/>
          </w:tcPr>
          <w:p>
            <w:r>
              <w:rPr>
                <w:sz w:val="16"/>
              </w:rPr>
              <w:t>Do not block core workflow if unavailable; show NOT_COMPLETED with explanation.</w:t>
            </w:r>
          </w:p>
        </w:tc>
      </w:tr>
      <w:tr>
        <w:tc>
          <w:tcPr>
            <w:tcW w:type="dxa" w:w="3408"/>
            <w:vAlign w:val="center"/>
          </w:tcPr>
          <w:p>
            <w:r>
              <w:rPr>
                <w:sz w:val="16"/>
              </w:rPr>
              <w:t>OCR</w:t>
            </w:r>
          </w:p>
        </w:tc>
        <w:tc>
          <w:tcPr>
            <w:tcW w:type="dxa" w:w="3408"/>
            <w:vAlign w:val="center"/>
          </w:tcPr>
          <w:p>
            <w:r>
              <w:rPr>
                <w:sz w:val="16"/>
              </w:rPr>
              <w:t>Adapter interface; choose a lightweight engine after testing installation on target machine</w:t>
            </w:r>
          </w:p>
        </w:tc>
        <w:tc>
          <w:tcPr>
            <w:tcW w:type="dxa" w:w="3408"/>
            <w:vAlign w:val="center"/>
          </w:tcPr>
          <w:p>
            <w:r>
              <w:rPr>
                <w:sz w:val="16"/>
              </w:rPr>
              <w:t>Manual correction fallback is mandatory; do not promise unsupported OCR accuracy.</w:t>
            </w:r>
          </w:p>
        </w:tc>
      </w:tr>
      <w:tr>
        <w:tc>
          <w:tcPr>
            <w:tcW w:type="dxa" w:w="3408"/>
            <w:vAlign w:val="center"/>
          </w:tcPr>
          <w:p>
            <w:r>
              <w:rPr>
                <w:sz w:val="16"/>
              </w:rPr>
              <w:t>Testing</w:t>
            </w:r>
          </w:p>
        </w:tc>
        <w:tc>
          <w:tcPr>
            <w:tcW w:type="dxa" w:w="3408"/>
            <w:vAlign w:val="center"/>
          </w:tcPr>
          <w:p>
            <w:r>
              <w:rPr>
                <w:sz w:val="16"/>
              </w:rPr>
              <w:t>pytest + HTTPX; frontend tests where practical</w:t>
            </w:r>
          </w:p>
        </w:tc>
        <w:tc>
          <w:tcPr>
            <w:tcW w:type="dxa" w:w="3408"/>
            <w:vAlign w:val="center"/>
          </w:tcPr>
          <w:p>
            <w:r>
              <w:rPr>
                <w:sz w:val="16"/>
              </w:rPr>
              <w:t>Cover API, roles, tenant isolation, upload validation, configuration changes and workflow transitions.</w:t>
            </w:r>
          </w:p>
        </w:tc>
      </w:tr>
      <w:tr>
        <w:tc>
          <w:tcPr>
            <w:tcW w:type="dxa" w:w="3408"/>
            <w:vAlign w:val="center"/>
          </w:tcPr>
          <w:p>
            <w:r>
              <w:rPr>
                <w:sz w:val="16"/>
              </w:rPr>
              <w:t>Version control</w:t>
            </w:r>
          </w:p>
        </w:tc>
        <w:tc>
          <w:tcPr>
            <w:tcW w:type="dxa" w:w="3408"/>
            <w:vAlign w:val="center"/>
          </w:tcPr>
          <w:p>
            <w:r>
              <w:rPr>
                <w:sz w:val="16"/>
              </w:rPr>
              <w:t>Git + GitHub</w:t>
            </w:r>
          </w:p>
        </w:tc>
        <w:tc>
          <w:tcPr>
            <w:tcW w:type="dxa" w:w="3408"/>
            <w:vAlign w:val="center"/>
          </w:tcPr>
          <w:p>
            <w:r>
              <w:rPr>
                <w:sz w:val="16"/>
              </w:rPr>
              <w:t>Use .env.example with placeholders; ignore .env, uploads, database and secrets.</w:t>
            </w:r>
          </w:p>
        </w:tc>
      </w:tr>
    </w:tbl>
    <w:p/>
    <w:p>
      <w:pPr>
        <w:pStyle w:val="Heading1"/>
      </w:pPr>
      <w:r>
        <w:t>7. High-level architecture and data flow</w:t>
      </w:r>
    </w:p>
    <w:p>
      <w:r>
        <w:t>React client → FastAPI endpoints → authentication/authorisation → domain services → SQLAlchemy/SQLite and private document storage. Domain services should separate record management, upload safety, integrity checks, extraction, consistency rules, bank-verification adapter, workflow engine, audit events and dossier generation. External bank verification must be an adapter boundary, not embedded in the workflow.</w:t>
      </w:r>
    </w:p>
    <w:p>
      <w:pPr>
        <w:pStyle w:val="ListBullet"/>
      </w:pPr>
      <w:r>
        <w:t>Submission: authenticate → validate institution scope → validate file type/size → store privately under generated ID → calculate hash → create document/version metadata → record audit event.</w:t>
      </w:r>
    </w:p>
    <w:p>
      <w:pPr>
        <w:pStyle w:val="ListBullet"/>
      </w:pPr>
      <w:r>
        <w:t>Verification: load applicable versioned rules → run supported checks → persist each outcome with evidence reference, timestamp, rule version and actor/system identity → mark low-confidence findings for review.</w:t>
      </w:r>
    </w:p>
    <w:p>
      <w:pPr>
        <w:pStyle w:val="ListBullet"/>
      </w:pPr>
      <w:r>
        <w:t>Review: assigned officer inspects evidence → records a reasoned decision or requests clarification → workflow engine validates transition and required clearances → audit event appended.</w:t>
      </w:r>
    </w:p>
    <w:p>
      <w:pPr>
        <w:pStyle w:val="ListBullet"/>
      </w:pPr>
      <w:r>
        <w:t>Lifecycle: calculate due/overdue state from stored dates and configurable reminder policies → surface queues/notifications without inventing dates.</w:t>
      </w:r>
    </w:p>
    <w:p>
      <w:pPr>
        <w:pStyle w:val="ListBullet"/>
      </w:pPr>
      <w:r>
        <w:t>Dossier: compile stored evidence and check outcomes only; include data source, generated time, rule/software version, human decisions and limitations.</w:t>
      </w:r>
    </w:p>
    <w:p>
      <w:pPr>
        <w:pStyle w:val="Heading1"/>
      </w:pPr>
      <w:r>
        <w:t>8. Initial data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53F5C"/>
          </w:tcPr>
          <w:p>
            <w:r>
              <w:rPr>
                <w:b/>
                <w:color w:val="FFFFFF"/>
                <w:sz w:val="17"/>
              </w:rPr>
              <w:t>Entity</w:t>
            </w:r>
          </w:p>
        </w:tc>
        <w:tc>
          <w:tcPr>
            <w:tcW w:type="dxa" w:w="3408"/>
            <w:shd w:fill="153F5C"/>
          </w:tcPr>
          <w:p>
            <w:r>
              <w:rPr>
                <w:b/>
                <w:color w:val="FFFFFF"/>
                <w:sz w:val="17"/>
              </w:rPr>
              <w:t>Key fields (illustrative)</w:t>
            </w:r>
          </w:p>
        </w:tc>
        <w:tc>
          <w:tcPr>
            <w:tcW w:type="dxa" w:w="3408"/>
            <w:shd w:fill="153F5C"/>
          </w:tcPr>
          <w:p>
            <w:r>
              <w:rPr>
                <w:b/>
                <w:color w:val="FFFFFF"/>
                <w:sz w:val="17"/>
              </w:rPr>
              <w:t>Purpose</w:t>
            </w:r>
          </w:p>
        </w:tc>
      </w:tr>
      <w:tr>
        <w:tc>
          <w:tcPr>
            <w:tcW w:type="dxa" w:w="3408"/>
            <w:vAlign w:val="center"/>
          </w:tcPr>
          <w:p>
            <w:r>
              <w:rPr>
                <w:sz w:val="16"/>
              </w:rPr>
              <w:t>Institution</w:t>
            </w:r>
          </w:p>
        </w:tc>
        <w:tc>
          <w:tcPr>
            <w:tcW w:type="dxa" w:w="3408"/>
            <w:vAlign w:val="center"/>
          </w:tcPr>
          <w:p>
            <w:r>
              <w:rPr>
                <w:sz w:val="16"/>
              </w:rPr>
              <w:t>id, name, external_reference_if_authorised, status, created_at</w:t>
            </w:r>
          </w:p>
        </w:tc>
        <w:tc>
          <w:tcPr>
            <w:tcW w:type="dxa" w:w="3408"/>
            <w:vAlign w:val="center"/>
          </w:tcPr>
          <w:p>
            <w:r>
              <w:rPr>
                <w:sz w:val="16"/>
              </w:rPr>
              <w:t>Tenant boundary for records.</w:t>
            </w:r>
          </w:p>
        </w:tc>
      </w:tr>
      <w:tr>
        <w:tc>
          <w:tcPr>
            <w:tcW w:type="dxa" w:w="3408"/>
            <w:vAlign w:val="center"/>
          </w:tcPr>
          <w:p>
            <w:r>
              <w:rPr>
                <w:sz w:val="16"/>
              </w:rPr>
              <w:t>User</w:t>
            </w:r>
          </w:p>
        </w:tc>
        <w:tc>
          <w:tcPr>
            <w:tcW w:type="dxa" w:w="3408"/>
            <w:vAlign w:val="center"/>
          </w:tcPr>
          <w:p>
            <w:r>
              <w:rPr>
                <w:sz w:val="16"/>
              </w:rPr>
              <w:t>id, username/email, password_hash, role_id, institution_id nullable, active</w:t>
            </w:r>
          </w:p>
        </w:tc>
        <w:tc>
          <w:tcPr>
            <w:tcW w:type="dxa" w:w="3408"/>
            <w:vAlign w:val="center"/>
          </w:tcPr>
          <w:p>
            <w:r>
              <w:rPr>
                <w:sz w:val="16"/>
              </w:rPr>
              <w:t>Authentication and scope.</w:t>
            </w:r>
          </w:p>
        </w:tc>
      </w:tr>
      <w:tr>
        <w:tc>
          <w:tcPr>
            <w:tcW w:type="dxa" w:w="3408"/>
            <w:vAlign w:val="center"/>
          </w:tcPr>
          <w:p>
            <w:r>
              <w:rPr>
                <w:sz w:val="16"/>
              </w:rPr>
              <w:t>Role / Permission</w:t>
            </w:r>
          </w:p>
        </w:tc>
        <w:tc>
          <w:tcPr>
            <w:tcW w:type="dxa" w:w="3408"/>
            <w:vAlign w:val="center"/>
          </w:tcPr>
          <w:p>
            <w:r>
              <w:rPr>
                <w:sz w:val="16"/>
              </w:rPr>
              <w:t>role_id, permission_key, scope, enabled</w:t>
            </w:r>
          </w:p>
        </w:tc>
        <w:tc>
          <w:tcPr>
            <w:tcW w:type="dxa" w:w="3408"/>
            <w:vAlign w:val="center"/>
          </w:tcPr>
          <w:p>
            <w:r>
              <w:rPr>
                <w:sz w:val="16"/>
              </w:rPr>
              <w:t>Centralised access policy.</w:t>
            </w:r>
          </w:p>
        </w:tc>
      </w:tr>
      <w:tr>
        <w:tc>
          <w:tcPr>
            <w:tcW w:type="dxa" w:w="3408"/>
            <w:vAlign w:val="center"/>
          </w:tcPr>
          <w:p>
            <w:r>
              <w:rPr>
                <w:sz w:val="16"/>
              </w:rPr>
              <w:t>FDRRecord</w:t>
            </w:r>
          </w:p>
        </w:tc>
        <w:tc>
          <w:tcPr>
            <w:tcW w:type="dxa" w:w="3408"/>
            <w:vAlign w:val="center"/>
          </w:tcPr>
          <w:p>
            <w:r>
              <w:rPr>
                <w:sz w:val="16"/>
              </w:rPr>
              <w:t>id, institution_id, bank_code/name, instrument_number, amount, currency, issue_date, maturity_date, lifecycle_state, created_by</w:t>
            </w:r>
          </w:p>
        </w:tc>
        <w:tc>
          <w:tcPr>
            <w:tcW w:type="dxa" w:w="3408"/>
            <w:vAlign w:val="center"/>
          </w:tcPr>
          <w:p>
            <w:r>
              <w:rPr>
                <w:sz w:val="16"/>
              </w:rPr>
              <w:t>Instrument-level record; sensitive values access-controlled.</w:t>
            </w:r>
          </w:p>
        </w:tc>
      </w:tr>
      <w:tr>
        <w:tc>
          <w:tcPr>
            <w:tcW w:type="dxa" w:w="3408"/>
            <w:vAlign w:val="center"/>
          </w:tcPr>
          <w:p>
            <w:r>
              <w:rPr>
                <w:sz w:val="16"/>
              </w:rPr>
              <w:t>Document</w:t>
            </w:r>
          </w:p>
        </w:tc>
        <w:tc>
          <w:tcPr>
            <w:tcW w:type="dxa" w:w="3408"/>
            <w:vAlign w:val="center"/>
          </w:tcPr>
          <w:p>
            <w:r>
              <w:rPr>
                <w:sz w:val="16"/>
              </w:rPr>
              <w:t>id, fdr_id, document_type_id, storage_key, original_filename_metadata, detected_type, size_bytes, uploaded_by, uploaded_at</w:t>
            </w:r>
          </w:p>
        </w:tc>
        <w:tc>
          <w:tcPr>
            <w:tcW w:type="dxa" w:w="3408"/>
            <w:vAlign w:val="center"/>
          </w:tcPr>
          <w:p>
            <w:r>
              <w:rPr>
                <w:sz w:val="16"/>
              </w:rPr>
              <w:t>Document inventory; storage key not public URL.</w:t>
            </w:r>
          </w:p>
        </w:tc>
      </w:tr>
      <w:tr>
        <w:tc>
          <w:tcPr>
            <w:tcW w:type="dxa" w:w="3408"/>
            <w:vAlign w:val="center"/>
          </w:tcPr>
          <w:p>
            <w:r>
              <w:rPr>
                <w:sz w:val="16"/>
              </w:rPr>
              <w:t>DocumentVersion</w:t>
            </w:r>
          </w:p>
        </w:tc>
        <w:tc>
          <w:tcPr>
            <w:tcW w:type="dxa" w:w="3408"/>
            <w:vAlign w:val="center"/>
          </w:tcPr>
          <w:p>
            <w:r>
              <w:rPr>
                <w:sz w:val="16"/>
              </w:rPr>
              <w:t>id, document_id, version_no, sha256, uploaded_at, supersedes_version_id</w:t>
            </w:r>
          </w:p>
        </w:tc>
        <w:tc>
          <w:tcPr>
            <w:tcW w:type="dxa" w:w="3408"/>
            <w:vAlign w:val="center"/>
          </w:tcPr>
          <w:p>
            <w:r>
              <w:rPr>
                <w:sz w:val="16"/>
              </w:rPr>
              <w:t>Integrity and version history.</w:t>
            </w:r>
          </w:p>
        </w:tc>
      </w:tr>
      <w:tr>
        <w:tc>
          <w:tcPr>
            <w:tcW w:type="dxa" w:w="3408"/>
            <w:vAlign w:val="center"/>
          </w:tcPr>
          <w:p>
            <w:r>
              <w:rPr>
                <w:sz w:val="16"/>
              </w:rPr>
              <w:t>ExtractedField</w:t>
            </w:r>
          </w:p>
        </w:tc>
        <w:tc>
          <w:tcPr>
            <w:tcW w:type="dxa" w:w="3408"/>
            <w:vAlign w:val="center"/>
          </w:tcPr>
          <w:p>
            <w:r>
              <w:rPr>
                <w:sz w:val="16"/>
              </w:rPr>
              <w:t>id, document_version_id, field_key, extracted_value, confidence, page_number, location_json, corrected_value, reviewed_by</w:t>
            </w:r>
          </w:p>
        </w:tc>
        <w:tc>
          <w:tcPr>
            <w:tcW w:type="dxa" w:w="3408"/>
            <w:vAlign w:val="center"/>
          </w:tcPr>
          <w:p>
            <w:r>
              <w:rPr>
                <w:sz w:val="16"/>
              </w:rPr>
              <w:t>Traceable extraction and manual correction.</w:t>
            </w:r>
          </w:p>
        </w:tc>
      </w:tr>
      <w:tr>
        <w:tc>
          <w:tcPr>
            <w:tcW w:type="dxa" w:w="3408"/>
            <w:vAlign w:val="center"/>
          </w:tcPr>
          <w:p>
            <w:r>
              <w:rPr>
                <w:sz w:val="16"/>
              </w:rPr>
              <w:t>RuleDefinition</w:t>
            </w:r>
          </w:p>
        </w:tc>
        <w:tc>
          <w:tcPr>
            <w:tcW w:type="dxa" w:w="3408"/>
            <w:vAlign w:val="center"/>
          </w:tcPr>
          <w:p>
            <w:r>
              <w:rPr>
                <w:sz w:val="16"/>
              </w:rPr>
              <w:t>id, rule_key, version, effective_from, enabled, parameters_json, source_reference, updated_by</w:t>
            </w:r>
          </w:p>
        </w:tc>
        <w:tc>
          <w:tcPr>
            <w:tcW w:type="dxa" w:w="3408"/>
            <w:vAlign w:val="center"/>
          </w:tcPr>
          <w:p>
            <w:r>
              <w:rPr>
                <w:sz w:val="16"/>
              </w:rPr>
              <w:t>Configurable/versioned business rules.</w:t>
            </w:r>
          </w:p>
        </w:tc>
      </w:tr>
      <w:tr>
        <w:tc>
          <w:tcPr>
            <w:tcW w:type="dxa" w:w="3408"/>
            <w:vAlign w:val="center"/>
          </w:tcPr>
          <w:p>
            <w:r>
              <w:rPr>
                <w:sz w:val="16"/>
              </w:rPr>
              <w:t>VerificationRun / CheckResult</w:t>
            </w:r>
          </w:p>
        </w:tc>
        <w:tc>
          <w:tcPr>
            <w:tcW w:type="dxa" w:w="3408"/>
            <w:vAlign w:val="center"/>
          </w:tcPr>
          <w:p>
            <w:r>
              <w:rPr>
                <w:sz w:val="16"/>
              </w:rPr>
              <w:t>id, fdr_id, rule_version, check_type, outcome, evidence_json, started_at, completed_at</w:t>
            </w:r>
          </w:p>
        </w:tc>
        <w:tc>
          <w:tcPr>
            <w:tcW w:type="dxa" w:w="3408"/>
            <w:vAlign w:val="center"/>
          </w:tcPr>
          <w:p>
            <w:r>
              <w:rPr>
                <w:sz w:val="16"/>
              </w:rPr>
              <w:t>What ran, when, result and evidence.</w:t>
            </w:r>
          </w:p>
        </w:tc>
      </w:tr>
      <w:tr>
        <w:tc>
          <w:tcPr>
            <w:tcW w:type="dxa" w:w="3408"/>
            <w:vAlign w:val="center"/>
          </w:tcPr>
          <w:p>
            <w:r>
              <w:rPr>
                <w:sz w:val="16"/>
              </w:rPr>
              <w:t>WorkflowEvent</w:t>
            </w:r>
          </w:p>
        </w:tc>
        <w:tc>
          <w:tcPr>
            <w:tcW w:type="dxa" w:w="3408"/>
            <w:vAlign w:val="center"/>
          </w:tcPr>
          <w:p>
            <w:r>
              <w:rPr>
                <w:sz w:val="16"/>
              </w:rPr>
              <w:t>id, fdr_id, old_state, new_state, actor_id, reason_code, notes, created_at</w:t>
            </w:r>
          </w:p>
        </w:tc>
        <w:tc>
          <w:tcPr>
            <w:tcW w:type="dxa" w:w="3408"/>
            <w:vAlign w:val="center"/>
          </w:tcPr>
          <w:p>
            <w:r>
              <w:rPr>
                <w:sz w:val="16"/>
              </w:rPr>
              <w:t>Append-only event history.</w:t>
            </w:r>
          </w:p>
        </w:tc>
      </w:tr>
      <w:tr>
        <w:tc>
          <w:tcPr>
            <w:tcW w:type="dxa" w:w="3408"/>
            <w:vAlign w:val="center"/>
          </w:tcPr>
          <w:p>
            <w:r>
              <w:rPr>
                <w:sz w:val="16"/>
              </w:rPr>
              <w:t>BankVerification</w:t>
            </w:r>
          </w:p>
        </w:tc>
        <w:tc>
          <w:tcPr>
            <w:tcW w:type="dxa" w:w="3408"/>
            <w:vAlign w:val="center"/>
          </w:tcPr>
          <w:p>
            <w:r>
              <w:rPr>
                <w:sz w:val="16"/>
              </w:rPr>
              <w:t>id, fdr_id, mode, source, reference, result, verified_at, recorded_by</w:t>
            </w:r>
          </w:p>
        </w:tc>
        <w:tc>
          <w:tcPr>
            <w:tcW w:type="dxa" w:w="3408"/>
            <w:vAlign w:val="center"/>
          </w:tcPr>
          <w:p>
            <w:r>
              <w:rPr>
                <w:sz w:val="16"/>
              </w:rPr>
              <w:t>Distinguishes live/manual/simulated/pending.</w:t>
            </w:r>
          </w:p>
        </w:tc>
      </w:tr>
      <w:tr>
        <w:tc>
          <w:tcPr>
            <w:tcW w:type="dxa" w:w="3408"/>
            <w:vAlign w:val="center"/>
          </w:tcPr>
          <w:p>
            <w:r>
              <w:rPr>
                <w:sz w:val="16"/>
              </w:rPr>
              <w:t>NotificationTask</w:t>
            </w:r>
          </w:p>
        </w:tc>
        <w:tc>
          <w:tcPr>
            <w:tcW w:type="dxa" w:w="3408"/>
            <w:vAlign w:val="center"/>
          </w:tcPr>
          <w:p>
            <w:r>
              <w:rPr>
                <w:sz w:val="16"/>
              </w:rPr>
              <w:t>id, fdr_id, rule_id, due_at, sent_at, status</w:t>
            </w:r>
          </w:p>
        </w:tc>
        <w:tc>
          <w:tcPr>
            <w:tcW w:type="dxa" w:w="3408"/>
            <w:vAlign w:val="center"/>
          </w:tcPr>
          <w:p>
            <w:r>
              <w:rPr>
                <w:sz w:val="16"/>
              </w:rPr>
              <w:t>Configurable reminders and escalation.</w:t>
            </w:r>
          </w:p>
        </w:tc>
      </w:tr>
    </w:tbl>
    <w:p/>
    <w:p>
      <w:r>
        <w:t>This is a starting model, not a final migration script. Use database constraints and foreign keys; avoid storing unnecessary personal data. All institution-scoped queries and file-download endpoints must enforce tenant access server-side.</w:t>
      </w:r>
    </w:p>
    <w:p>
      <w:pPr>
        <w:pStyle w:val="Heading1"/>
      </w:pPr>
      <w:r>
        <w:t>9. MVP scope versus later work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53F5C"/>
          </w:tcPr>
          <w:p>
            <w:r>
              <w:rPr>
                <w:b/>
                <w:color w:val="FFFFFF"/>
                <w:sz w:val="17"/>
              </w:rPr>
              <w:t>Priority</w:t>
            </w:r>
          </w:p>
        </w:tc>
        <w:tc>
          <w:tcPr>
            <w:tcW w:type="dxa" w:w="3408"/>
            <w:shd w:fill="153F5C"/>
          </w:tcPr>
          <w:p>
            <w:r>
              <w:rPr>
                <w:b/>
                <w:color w:val="FFFFFF"/>
                <w:sz w:val="17"/>
              </w:rPr>
              <w:t>Build</w:t>
            </w:r>
          </w:p>
        </w:tc>
        <w:tc>
          <w:tcPr>
            <w:tcW w:type="dxa" w:w="3408"/>
            <w:shd w:fill="153F5C"/>
          </w:tcPr>
          <w:p>
            <w:r>
              <w:rPr>
                <w:b/>
                <w:color w:val="FFFFFF"/>
                <w:sz w:val="17"/>
              </w:rPr>
              <w:t>Defer unless time and evidence allow</w:t>
            </w:r>
          </w:p>
        </w:tc>
      </w:tr>
      <w:tr>
        <w:tc>
          <w:tcPr>
            <w:tcW w:type="dxa" w:w="3408"/>
            <w:vAlign w:val="center"/>
          </w:tcPr>
          <w:p>
            <w:r>
              <w:rPr>
                <w:sz w:val="16"/>
              </w:rPr>
              <w:t>P0 — required vertical slice</w:t>
            </w:r>
          </w:p>
        </w:tc>
        <w:tc>
          <w:tcPr>
            <w:tcW w:type="dxa" w:w="3408"/>
            <w:vAlign w:val="center"/>
          </w:tcPr>
          <w:p>
            <w:r>
              <w:rPr>
                <w:sz w:val="16"/>
              </w:rPr>
              <w:t>Login/roles; institution-scoped FDR CRUD; secure upload; hash/version tracking; configurable rules; field-entry/extraction fallback; mismatch checks; lifecycle queue; reviewer decision workflow; audit history; dossier; tests; seeded synthetic demo.</w:t>
            </w:r>
          </w:p>
        </w:tc>
        <w:tc>
          <w:tcPr>
            <w:tcW w:type="dxa" w:w="3408"/>
            <w:vAlign w:val="center"/>
          </w:tcPr>
          <w:p>
            <w:r>
              <w:rPr>
                <w:sz w:val="16"/>
              </w:rPr>
              <w:t>—</w:t>
            </w:r>
          </w:p>
        </w:tc>
      </w:tr>
      <w:tr>
        <w:tc>
          <w:tcPr>
            <w:tcW w:type="dxa" w:w="3408"/>
            <w:vAlign w:val="center"/>
          </w:tcPr>
          <w:p>
            <w:r>
              <w:rPr>
                <w:sz w:val="16"/>
              </w:rPr>
              <w:t>P1 — add only if stable</w:t>
            </w:r>
          </w:p>
        </w:tc>
        <w:tc>
          <w:tcPr>
            <w:tcW w:type="dxa" w:w="3408"/>
            <w:vAlign w:val="center"/>
          </w:tcPr>
          <w:p>
            <w:r>
              <w:rPr>
                <w:sz w:val="16"/>
              </w:rPr>
              <w:t>OCR engine integration with field confidence; pyHanko on supported PDFs; fuzzy duplicate candidate detection; downloadable PDF dossier.</w:t>
            </w:r>
          </w:p>
        </w:tc>
        <w:tc>
          <w:tcPr>
            <w:tcW w:type="dxa" w:w="3408"/>
            <w:vAlign w:val="center"/>
          </w:tcPr>
          <w:p>
            <w:r>
              <w:rPr>
                <w:sz w:val="16"/>
              </w:rPr>
              <w:t>Complex ML training, multi-engine OCR voting.</w:t>
            </w:r>
          </w:p>
        </w:tc>
      </w:tr>
      <w:tr>
        <w:tc>
          <w:tcPr>
            <w:tcW w:type="dxa" w:w="3408"/>
            <w:vAlign w:val="center"/>
          </w:tcPr>
          <w:p>
            <w:r>
              <w:rPr>
                <w:sz w:val="16"/>
              </w:rPr>
              <w:t>P2 — future integration</w:t>
            </w:r>
          </w:p>
        </w:tc>
        <w:tc>
          <w:tcPr>
            <w:tcW w:type="dxa" w:w="3408"/>
            <w:vAlign w:val="center"/>
          </w:tcPr>
          <w:p>
            <w:r>
              <w:rPr>
                <w:sz w:val="16"/>
              </w:rPr>
              <w:t>Bank API adapter contract and documented onboarding requirements; production hosting; notification gateway; policy configuration admin UI enhancements.</w:t>
            </w:r>
          </w:p>
        </w:tc>
        <w:tc>
          <w:tcPr>
            <w:tcW w:type="dxa" w:w="3408"/>
            <w:vAlign w:val="center"/>
          </w:tcPr>
          <w:p>
            <w:r>
              <w:rPr>
                <w:sz w:val="16"/>
              </w:rPr>
              <w:t>Live bank integration without formal access; real AICTE production connection; blockchain/microservices.</w:t>
            </w:r>
          </w:p>
        </w:tc>
      </w:tr>
    </w:tbl>
    <w:p/>
    <w:p>
      <w:pPr>
        <w:pStyle w:val="Heading1"/>
      </w:pPr>
      <w:r>
        <w:t>10. Synthetic data and demo design</w:t>
      </w:r>
    </w:p>
    <w:p>
      <w:r>
        <w:t>No AICTE-specific FDR dataset was identified in the research survey. Use generated test data with a fixed seed, conspicuously labelled SYNTHETIC/DEMO. Do not use real institution identifiers, account numbers or real FDR scans without permission. Do not generate documents that could be mistaken for valid bank instruments.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53F5C"/>
          </w:tcPr>
          <w:p>
            <w:r>
              <w:rPr>
                <w:b/>
                <w:color w:val="FFFFFF"/>
                <w:sz w:val="17"/>
              </w:rPr>
              <w:t>Scenario</w:t>
            </w:r>
          </w:p>
        </w:tc>
        <w:tc>
          <w:tcPr>
            <w:tcW w:type="dxa" w:w="3408"/>
            <w:shd w:fill="153F5C"/>
          </w:tcPr>
          <w:p>
            <w:r>
              <w:rPr>
                <w:b/>
                <w:color w:val="FFFFFF"/>
                <w:sz w:val="17"/>
              </w:rPr>
              <w:t>Expected system behaviour</w:t>
            </w:r>
          </w:p>
        </w:tc>
        <w:tc>
          <w:tcPr>
            <w:tcW w:type="dxa" w:w="3408"/>
            <w:shd w:fill="153F5C"/>
          </w:tcPr>
          <w:p>
            <w:r>
              <w:rPr>
                <w:b/>
                <w:color w:val="FFFFFF"/>
                <w:sz w:val="17"/>
              </w:rPr>
              <w:t>Evidence to show</w:t>
            </w:r>
          </w:p>
        </w:tc>
      </w:tr>
      <w:tr>
        <w:tc>
          <w:tcPr>
            <w:tcW w:type="dxa" w:w="3408"/>
            <w:vAlign w:val="center"/>
          </w:tcPr>
          <w:p>
            <w:r>
              <w:rPr>
                <w:sz w:val="16"/>
              </w:rPr>
              <w:t>Clean synthetic record</w:t>
            </w:r>
          </w:p>
        </w:tc>
        <w:tc>
          <w:tcPr>
            <w:tcW w:type="dxa" w:w="3408"/>
            <w:vAlign w:val="center"/>
          </w:tcPr>
          <w:p>
            <w:r>
              <w:rPr>
                <w:sz w:val="16"/>
              </w:rPr>
              <w:t>Checks run; any unavailable checks clearly say not run/pending.</w:t>
            </w:r>
          </w:p>
        </w:tc>
        <w:tc>
          <w:tcPr>
            <w:tcW w:type="dxa" w:w="3408"/>
            <w:vAlign w:val="center"/>
          </w:tcPr>
          <w:p>
            <w:r>
              <w:rPr>
                <w:sz w:val="16"/>
              </w:rPr>
              <w:t>Record view and check-by-check outcomes.</w:t>
            </w:r>
          </w:p>
        </w:tc>
      </w:tr>
      <w:tr>
        <w:tc>
          <w:tcPr>
            <w:tcW w:type="dxa" w:w="3408"/>
            <w:vAlign w:val="center"/>
          </w:tcPr>
          <w:p>
            <w:r>
              <w:rPr>
                <w:sz w:val="16"/>
              </w:rPr>
              <w:t>Entered amount differs from extracted/test value</w:t>
            </w:r>
          </w:p>
        </w:tc>
        <w:tc>
          <w:tcPr>
            <w:tcW w:type="dxa" w:w="3408"/>
            <w:vAlign w:val="center"/>
          </w:tcPr>
          <w:p>
            <w:r>
              <w:rPr>
                <w:sz w:val="16"/>
              </w:rPr>
              <w:t>Flag mismatch and route for review; do not label fraud.</w:t>
            </w:r>
          </w:p>
        </w:tc>
        <w:tc>
          <w:tcPr>
            <w:tcW w:type="dxa" w:w="3408"/>
            <w:vAlign w:val="center"/>
          </w:tcPr>
          <w:p>
            <w:r>
              <w:rPr>
                <w:sz w:val="16"/>
              </w:rPr>
              <w:t>Both values, source document/page if available, rule ID/version.</w:t>
            </w:r>
          </w:p>
        </w:tc>
      </w:tr>
      <w:tr>
        <w:tc>
          <w:tcPr>
            <w:tcW w:type="dxa" w:w="3408"/>
            <w:vAlign w:val="center"/>
          </w:tcPr>
          <w:p>
            <w:r>
              <w:rPr>
                <w:sz w:val="16"/>
              </w:rPr>
              <w:t>Exact duplicate file upload</w:t>
            </w:r>
          </w:p>
        </w:tc>
        <w:tc>
          <w:tcPr>
            <w:tcW w:type="dxa" w:w="3408"/>
            <w:vAlign w:val="center"/>
          </w:tcPr>
          <w:p>
            <w:r>
              <w:rPr>
                <w:sz w:val="16"/>
              </w:rPr>
              <w:t>Detect matching SHA-256 and link to prior file version/record as a candidate duplicate.</w:t>
            </w:r>
          </w:p>
        </w:tc>
        <w:tc>
          <w:tcPr>
            <w:tcW w:type="dxa" w:w="3408"/>
            <w:vAlign w:val="center"/>
          </w:tcPr>
          <w:p>
            <w:r>
              <w:rPr>
                <w:sz w:val="16"/>
              </w:rPr>
              <w:t>Hash comparison and audit event.</w:t>
            </w:r>
          </w:p>
        </w:tc>
      </w:tr>
      <w:tr>
        <w:tc>
          <w:tcPr>
            <w:tcW w:type="dxa" w:w="3408"/>
            <w:vAlign w:val="center"/>
          </w:tcPr>
          <w:p>
            <w:r>
              <w:rPr>
                <w:sz w:val="16"/>
              </w:rPr>
              <w:t>Modified file after stored version</w:t>
            </w:r>
          </w:p>
        </w:tc>
        <w:tc>
          <w:tcPr>
            <w:tcW w:type="dxa" w:w="3408"/>
            <w:vAlign w:val="center"/>
          </w:tcPr>
          <w:p>
            <w:r>
              <w:rPr>
                <w:sz w:val="16"/>
              </w:rPr>
              <w:t>Recomputed digest differs; mark integrity mismatch.</w:t>
            </w:r>
          </w:p>
        </w:tc>
        <w:tc>
          <w:tcPr>
            <w:tcW w:type="dxa" w:w="3408"/>
            <w:vAlign w:val="center"/>
          </w:tcPr>
          <w:p>
            <w:r>
              <w:rPr>
                <w:sz w:val="16"/>
              </w:rPr>
              <w:t>Recorded versus current hash.</w:t>
            </w:r>
          </w:p>
        </w:tc>
      </w:tr>
      <w:tr>
        <w:tc>
          <w:tcPr>
            <w:tcW w:type="dxa" w:w="3408"/>
            <w:vAlign w:val="center"/>
          </w:tcPr>
          <w:p>
            <w:r>
              <w:rPr>
                <w:sz w:val="16"/>
              </w:rPr>
              <w:t>Maturity date within configured reminder window</w:t>
            </w:r>
          </w:p>
        </w:tc>
        <w:tc>
          <w:tcPr>
            <w:tcW w:type="dxa" w:w="3408"/>
            <w:vAlign w:val="center"/>
          </w:tcPr>
          <w:p>
            <w:r>
              <w:rPr>
                <w:sz w:val="16"/>
              </w:rPr>
              <w:t>Show upcoming maturity based on current date and configured policy.</w:t>
            </w:r>
          </w:p>
        </w:tc>
        <w:tc>
          <w:tcPr>
            <w:tcW w:type="dxa" w:w="3408"/>
            <w:vAlign w:val="center"/>
          </w:tcPr>
          <w:p>
            <w:r>
              <w:rPr>
                <w:sz w:val="16"/>
              </w:rPr>
              <w:t>Date, rule and computed urgency.</w:t>
            </w:r>
          </w:p>
        </w:tc>
      </w:tr>
      <w:tr>
        <w:tc>
          <w:tcPr>
            <w:tcW w:type="dxa" w:w="3408"/>
            <w:vAlign w:val="center"/>
          </w:tcPr>
          <w:p>
            <w:r>
              <w:rPr>
                <w:sz w:val="16"/>
              </w:rPr>
              <w:t>User attempts cross-institution access</w:t>
            </w:r>
          </w:p>
        </w:tc>
        <w:tc>
          <w:tcPr>
            <w:tcW w:type="dxa" w:w="3408"/>
            <w:vAlign w:val="center"/>
          </w:tcPr>
          <w:p>
            <w:r>
              <w:rPr>
                <w:sz w:val="16"/>
              </w:rPr>
              <w:t>API denies access; event logged without leaking protected content.</w:t>
            </w:r>
          </w:p>
        </w:tc>
        <w:tc>
          <w:tcPr>
            <w:tcW w:type="dxa" w:w="3408"/>
            <w:vAlign w:val="center"/>
          </w:tcPr>
          <w:p>
            <w:r>
              <w:rPr>
                <w:sz w:val="16"/>
              </w:rPr>
              <w:t>Negative test result and denied-action event.</w:t>
            </w:r>
          </w:p>
        </w:tc>
      </w:tr>
      <w:tr>
        <w:tc>
          <w:tcPr>
            <w:tcW w:type="dxa" w:w="3408"/>
            <w:vAlign w:val="center"/>
          </w:tcPr>
          <w:p>
            <w:r>
              <w:rPr>
                <w:sz w:val="16"/>
              </w:rPr>
              <w:t>Release attempted before required clearance</w:t>
            </w:r>
          </w:p>
        </w:tc>
        <w:tc>
          <w:tcPr>
            <w:tcW w:type="dxa" w:w="3408"/>
            <w:vAlign w:val="center"/>
          </w:tcPr>
          <w:p>
            <w:r>
              <w:rPr>
                <w:sz w:val="16"/>
              </w:rPr>
              <w:t>Backend rejects transition and explains missing requirements.</w:t>
            </w:r>
          </w:p>
        </w:tc>
        <w:tc>
          <w:tcPr>
            <w:tcW w:type="dxa" w:w="3408"/>
            <w:vAlign w:val="center"/>
          </w:tcPr>
          <w:p>
            <w:r>
              <w:rPr>
                <w:sz w:val="16"/>
              </w:rPr>
              <w:t>Validation response and audit history.</w:t>
            </w:r>
          </w:p>
        </w:tc>
      </w:tr>
      <w:tr>
        <w:tc>
          <w:tcPr>
            <w:tcW w:type="dxa" w:w="3408"/>
            <w:vAlign w:val="center"/>
          </w:tcPr>
          <w:p>
            <w:r>
              <w:rPr>
                <w:sz w:val="16"/>
              </w:rPr>
              <w:t>Demo bank response</w:t>
            </w:r>
          </w:p>
        </w:tc>
        <w:tc>
          <w:tcPr>
            <w:tcW w:type="dxa" w:w="3408"/>
            <w:vAlign w:val="center"/>
          </w:tcPr>
          <w:p>
            <w:r>
              <w:rPr>
                <w:sz w:val="16"/>
              </w:rPr>
              <w:t>Display DEMO_SIMULATED — NOT BANK CONFIRMED.</w:t>
            </w:r>
          </w:p>
        </w:tc>
        <w:tc>
          <w:tcPr>
            <w:tcW w:type="dxa" w:w="3408"/>
            <w:vAlign w:val="center"/>
          </w:tcPr>
          <w:p>
            <w:r>
              <w:rPr>
                <w:sz w:val="16"/>
              </w:rPr>
              <w:t>Visible banner and stored verification mode.</w:t>
            </w:r>
          </w:p>
        </w:tc>
      </w:tr>
    </w:tbl>
    <w:p/>
    <w:p>
      <w:pPr>
        <w:pStyle w:val="Heading1"/>
      </w:pPr>
      <w:r>
        <w:t>11. Evaluation and acceptance criteria</w:t>
      </w:r>
    </w:p>
    <w:p>
      <w:pPr>
        <w:pStyle w:val="ListBullet"/>
      </w:pPr>
      <w:r>
        <w:t>All critical access-control tests pass, including cross-institution record and file access denial.</w:t>
      </w:r>
    </w:p>
    <w:p>
      <w:pPr>
        <w:pStyle w:val="ListBullet"/>
      </w:pPr>
      <w:r>
        <w:t>Upload validation rejects disallowed file types and oversized files; filenames cannot cause path traversal.</w:t>
      </w:r>
    </w:p>
    <w:p>
      <w:pPr>
        <w:pStyle w:val="ListBullet"/>
      </w:pPr>
      <w:r>
        <w:t>Changing a rule configuration changes the outcome of the relevant test without changing source code.</w:t>
      </w:r>
    </w:p>
    <w:p>
      <w:pPr>
        <w:pStyle w:val="ListBullet"/>
      </w:pPr>
      <w:r>
        <w:t>A controlled mismatch is correctly flagged and the evidence is visible to an authorised reviewer.</w:t>
      </w:r>
    </w:p>
    <w:p>
      <w:pPr>
        <w:pStyle w:val="ListBullet"/>
      </w:pPr>
      <w:r>
        <w:t>Exact duplicate files and modified files produce the expected hash outcomes in deterministic tests.</w:t>
      </w:r>
    </w:p>
    <w:p>
      <w:pPr>
        <w:pStyle w:val="ListBullet"/>
      </w:pPr>
      <w:r>
        <w:t>Maturity/reminder outcomes are correct for test dates and configured reminder windows.</w:t>
      </w:r>
    </w:p>
    <w:p>
      <w:pPr>
        <w:pStyle w:val="ListBullet"/>
      </w:pPr>
      <w:r>
        <w:t>Workflow transitions without mandatory clearance are rejected server-side.</w:t>
      </w:r>
    </w:p>
    <w:p>
      <w:pPr>
        <w:pStyle w:val="ListBullet"/>
      </w:pPr>
      <w:r>
        <w:t>Dossier generation only reports checks that actually ran and clearly distinguishes pending, simulated and live-authorised verification.</w:t>
      </w:r>
    </w:p>
    <w:p>
      <w:pPr>
        <w:pStyle w:val="ListBullet"/>
      </w:pPr>
      <w:r>
        <w:t>Tests, seed generation and setup instructions are reproducible; report only results actually observed.</w:t>
      </w:r>
    </w:p>
    <w:p>
      <w:r>
        <w:t>Do not claim real-world fraud-detection accuracy or time savings based only on synthetic records. If OCR is evaluated, report field-level exact match for amounts, dates and identifiers on a labelled test set, including failure cases and sample size.</w:t>
      </w:r>
    </w:p>
    <w:p>
      <w:pPr>
        <w:pStyle w:val="Heading1"/>
      </w:pPr>
      <w:r>
        <w:t>12. Security, privacy and reliability</w:t>
      </w:r>
    </w:p>
    <w:p>
      <w:pPr>
        <w:pStyle w:val="ListBullet"/>
      </w:pPr>
      <w:r>
        <w:t>Hash passwords with a recognised password-hashing scheme; never store plaintext passwords.</w:t>
      </w:r>
    </w:p>
    <w:p>
      <w:pPr>
        <w:pStyle w:val="ListBullet"/>
      </w:pPr>
      <w:r>
        <w:t>Enforce least privilege on every API endpoint and document download, not just by hiding frontend buttons.</w:t>
      </w:r>
    </w:p>
    <w:p>
      <w:pPr>
        <w:pStyle w:val="ListBullet"/>
      </w:pPr>
      <w:r>
        <w:t>Validate file extension, actual file signature/type and size; generate storage names; store outside the public web root.</w:t>
      </w:r>
    </w:p>
    <w:p>
      <w:pPr>
        <w:pStyle w:val="ListBullet"/>
      </w:pPr>
      <w:r>
        <w:t>Keep secrets in environment variables; provide .env.example with no real values; ensure .env, database, uploads and keys are git-ignored.</w:t>
      </w:r>
    </w:p>
    <w:p>
      <w:pPr>
        <w:pStyle w:val="ListBullet"/>
      </w:pPr>
      <w:r>
        <w:t>Audit uploads, replacements, verification runs, configuration edits, role changes, decisions, blocked transitions and denied access.</w:t>
      </w:r>
    </w:p>
    <w:p>
      <w:pPr>
        <w:pStyle w:val="ListBullet"/>
      </w:pPr>
      <w:r>
        <w:t>Do not log passwords, session tokens, API keys, private keys or unnecessary document contents.</w:t>
      </w:r>
    </w:p>
    <w:p>
      <w:pPr>
        <w:pStyle w:val="ListBullet"/>
      </w:pPr>
      <w:r>
        <w:t>Use safe failure states: if OCR/signature validation/configuration is unavailable, report that status instead of silently passing.</w:t>
      </w:r>
    </w:p>
    <w:p>
      <w:pPr>
        <w:pStyle w:val="ListBullet"/>
      </w:pPr>
      <w:r>
        <w:t>Treat OCR and ML as decision support; no automated approval or release.</w:t>
      </w:r>
    </w:p>
    <w:p>
      <w:pPr>
        <w:pStyle w:val="ListBullet"/>
      </w:pPr>
      <w:r>
        <w:t>Production use would require a formal security, legal, privacy, deployment and AICTE/bank integration review.</w:t>
      </w:r>
    </w:p>
    <w:p>
      <w:pPr>
        <w:pStyle w:val="Heading1"/>
      </w:pPr>
      <w:r>
        <w:t>13. Three-person implementation split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53F5C"/>
          </w:tcPr>
          <w:p>
            <w:r>
              <w:rPr>
                <w:b/>
                <w:color w:val="FFFFFF"/>
                <w:sz w:val="17"/>
              </w:rPr>
              <w:t>Workstream</w:t>
            </w:r>
          </w:p>
        </w:tc>
        <w:tc>
          <w:tcPr>
            <w:tcW w:type="dxa" w:w="3408"/>
            <w:shd w:fill="153F5C"/>
          </w:tcPr>
          <w:p>
            <w:r>
              <w:rPr>
                <w:b/>
                <w:color w:val="FFFFFF"/>
                <w:sz w:val="17"/>
              </w:rPr>
              <w:t>Ownership</w:t>
            </w:r>
          </w:p>
        </w:tc>
        <w:tc>
          <w:tcPr>
            <w:tcW w:type="dxa" w:w="3408"/>
            <w:shd w:fill="153F5C"/>
          </w:tcPr>
          <w:p>
            <w:r>
              <w:rPr>
                <w:b/>
                <w:color w:val="FFFFFF"/>
                <w:sz w:val="17"/>
              </w:rPr>
              <w:t>Deliverables</w:t>
            </w:r>
          </w:p>
        </w:tc>
      </w:tr>
      <w:tr>
        <w:tc>
          <w:tcPr>
            <w:tcW w:type="dxa" w:w="3408"/>
            <w:vAlign w:val="center"/>
          </w:tcPr>
          <w:p>
            <w:r>
              <w:rPr>
                <w:sz w:val="16"/>
              </w:rPr>
              <w:t>A — process/configuration/testing</w:t>
            </w:r>
          </w:p>
        </w:tc>
        <w:tc>
          <w:tcPr>
            <w:tcW w:type="dxa" w:w="3408"/>
            <w:vAlign w:val="center"/>
          </w:tcPr>
          <w:p>
            <w:r>
              <w:rPr>
                <w:sz w:val="16"/>
              </w:rPr>
              <w:t>Member 1</w:t>
            </w:r>
          </w:p>
        </w:tc>
        <w:tc>
          <w:tcPr>
            <w:tcW w:type="dxa" w:w="3408"/>
            <w:vAlign w:val="center"/>
          </w:tcPr>
          <w:p>
            <w:r>
              <w:rPr>
                <w:sz w:val="16"/>
              </w:rPr>
              <w:t>Map requirements to cited sources; define versioned rules/statuses; prepare synthetic scenarios and acceptance tests.</w:t>
            </w:r>
          </w:p>
        </w:tc>
      </w:tr>
      <w:tr>
        <w:tc>
          <w:tcPr>
            <w:tcW w:type="dxa" w:w="3408"/>
            <w:vAlign w:val="center"/>
          </w:tcPr>
          <w:p>
            <w:r>
              <w:rPr>
                <w:sz w:val="16"/>
              </w:rPr>
              <w:t>B — backend/data/security</w:t>
            </w:r>
          </w:p>
        </w:tc>
        <w:tc>
          <w:tcPr>
            <w:tcW w:type="dxa" w:w="3408"/>
            <w:vAlign w:val="center"/>
          </w:tcPr>
          <w:p>
            <w:r>
              <w:rPr>
                <w:sz w:val="16"/>
              </w:rPr>
              <w:t>Member 2</w:t>
            </w:r>
          </w:p>
        </w:tc>
        <w:tc>
          <w:tcPr>
            <w:tcW w:type="dxa" w:w="3408"/>
            <w:vAlign w:val="center"/>
          </w:tcPr>
          <w:p>
            <w:r>
              <w:rPr>
                <w:sz w:val="16"/>
              </w:rPr>
              <w:t>FastAPI, SQLAlchemy schema, auth/RBAC, secure uploads, hashing, verification services, workflow/audit APIs.</w:t>
            </w:r>
          </w:p>
        </w:tc>
      </w:tr>
      <w:tr>
        <w:tc>
          <w:tcPr>
            <w:tcW w:type="dxa" w:w="3408"/>
            <w:vAlign w:val="center"/>
          </w:tcPr>
          <w:p>
            <w:r>
              <w:rPr>
                <w:sz w:val="16"/>
              </w:rPr>
              <w:t>C — frontend/demo/evaluation</w:t>
            </w:r>
          </w:p>
        </w:tc>
        <w:tc>
          <w:tcPr>
            <w:tcW w:type="dxa" w:w="3408"/>
            <w:vAlign w:val="center"/>
          </w:tcPr>
          <w:p>
            <w:r>
              <w:rPr>
                <w:sz w:val="16"/>
              </w:rPr>
              <w:t>Member 3</w:t>
            </w:r>
          </w:p>
        </w:tc>
        <w:tc>
          <w:tcPr>
            <w:tcW w:type="dxa" w:w="3408"/>
            <w:vAlign w:val="center"/>
          </w:tcPr>
          <w:p>
            <w:r>
              <w:rPr>
                <w:sz w:val="16"/>
              </w:rPr>
              <w:t>React screens, reviewer queue, lifecycle dashboard, evidence dossier UI, demo script, screenshots and actual test summary.</w:t>
            </w:r>
          </w:p>
        </w:tc>
      </w:tr>
    </w:tbl>
    <w:p/>
    <w:p>
      <w:r>
        <w:t>Integrate through agreed API contracts and shared schema before parallel coding. Keep the core workflow small enough to finish and test.</w:t>
      </w:r>
    </w:p>
    <w:p>
      <w:pPr>
        <w:pStyle w:val="Heading1"/>
      </w:pPr>
      <w:r>
        <w:t>14. Six-slide SIH PPT mapping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53F5C"/>
          </w:tcPr>
          <w:p>
            <w:r>
              <w:rPr>
                <w:b/>
                <w:color w:val="FFFFFF"/>
                <w:sz w:val="17"/>
              </w:rPr>
              <w:t>Slide</w:t>
            </w:r>
          </w:p>
        </w:tc>
        <w:tc>
          <w:tcPr>
            <w:tcW w:type="dxa" w:w="3408"/>
            <w:shd w:fill="153F5C"/>
          </w:tcPr>
          <w:p>
            <w:r>
              <w:rPr>
                <w:b/>
                <w:color w:val="FFFFFF"/>
                <w:sz w:val="17"/>
              </w:rPr>
              <w:t>Content</w:t>
            </w:r>
          </w:p>
        </w:tc>
        <w:tc>
          <w:tcPr>
            <w:tcW w:type="dxa" w:w="3408"/>
            <w:shd w:fill="153F5C"/>
          </w:tcPr>
          <w:p>
            <w:r>
              <w:rPr>
                <w:b/>
                <w:color w:val="FFFFFF"/>
                <w:sz w:val="17"/>
              </w:rPr>
              <w:t>Evidence / caution</w:t>
            </w:r>
          </w:p>
        </w:tc>
      </w:tr>
      <w:tr>
        <w:tc>
          <w:tcPr>
            <w:tcW w:type="dxa" w:w="3408"/>
            <w:vAlign w:val="center"/>
          </w:tcPr>
          <w:p>
            <w:r>
              <w:rPr>
                <w:sz w:val="16"/>
              </w:rPr>
              <w:t>1. Title</w:t>
            </w:r>
          </w:p>
        </w:tc>
        <w:tc>
          <w:tcPr>
            <w:tcW w:type="dxa" w:w="3408"/>
            <w:vAlign w:val="center"/>
          </w:tcPr>
          <w:p>
            <w:r>
              <w:rPr>
                <w:sz w:val="16"/>
              </w:rPr>
              <w:t>DepositGuard + required team details only.</w:t>
            </w:r>
          </w:p>
        </w:tc>
        <w:tc>
          <w:tcPr>
            <w:tcW w:type="dxa" w:w="3408"/>
            <w:vAlign w:val="center"/>
          </w:tcPr>
          <w:p>
            <w:r>
              <w:rPr>
                <w:sz w:val="16"/>
              </w:rPr>
              <w:t>No unverified endorsement.</w:t>
            </w:r>
          </w:p>
        </w:tc>
      </w:tr>
      <w:tr>
        <w:tc>
          <w:tcPr>
            <w:tcW w:type="dxa" w:w="3408"/>
            <w:vAlign w:val="center"/>
          </w:tcPr>
          <w:p>
            <w:r>
              <w:rPr>
                <w:sz w:val="16"/>
              </w:rPr>
              <w:t>2. Problem, uniqueness, solution</w:t>
            </w:r>
          </w:p>
        </w:tc>
        <w:tc>
          <w:tcPr>
            <w:tcW w:type="dxa" w:w="3408"/>
            <w:vAlign w:val="center"/>
          </w:tcPr>
          <w:p>
            <w:r>
              <w:rPr>
                <w:sz w:val="16"/>
              </w:rPr>
              <w:t>Existing documented workflow; proposed evidence-linked instrument assurance and lifecycle layer.</w:t>
            </w:r>
          </w:p>
        </w:tc>
        <w:tc>
          <w:tcPr>
            <w:tcW w:type="dxa" w:w="3408"/>
            <w:vAlign w:val="center"/>
          </w:tcPr>
          <w:p>
            <w:r>
              <w:rPr>
                <w:sz w:val="16"/>
              </w:rPr>
              <w:t>Do not claim the current portal has no tracking or is wholly manual.</w:t>
            </w:r>
          </w:p>
        </w:tc>
      </w:tr>
      <w:tr>
        <w:tc>
          <w:tcPr>
            <w:tcW w:type="dxa" w:w="3408"/>
            <w:vAlign w:val="center"/>
          </w:tcPr>
          <w:p>
            <w:r>
              <w:rPr>
                <w:sz w:val="16"/>
              </w:rPr>
              <w:t>3. Technical approach</w:t>
            </w:r>
          </w:p>
        </w:tc>
        <w:tc>
          <w:tcPr>
            <w:tcW w:type="dxa" w:w="3408"/>
            <w:vAlign w:val="center"/>
          </w:tcPr>
          <w:p>
            <w:r>
              <w:rPr>
                <w:sz w:val="16"/>
              </w:rPr>
              <w:t>Architecture, configurable rules, file hash/versioning, OCR/consistency, signature checks where supported, review/audit.</w:t>
            </w:r>
          </w:p>
        </w:tc>
        <w:tc>
          <w:tcPr>
            <w:tcW w:type="dxa" w:w="3408"/>
            <w:vAlign w:val="center"/>
          </w:tcPr>
          <w:p>
            <w:r>
              <w:rPr>
                <w:sz w:val="16"/>
              </w:rPr>
              <w:t>Show only implemented or explicitly labelled planned features.</w:t>
            </w:r>
          </w:p>
        </w:tc>
      </w:tr>
      <w:tr>
        <w:tc>
          <w:tcPr>
            <w:tcW w:type="dxa" w:w="3408"/>
            <w:vAlign w:val="center"/>
          </w:tcPr>
          <w:p>
            <w:r>
              <w:rPr>
                <w:sz w:val="16"/>
              </w:rPr>
              <w:t>4. Impact / benefits</w:t>
            </w:r>
          </w:p>
        </w:tc>
        <w:tc>
          <w:tcPr>
            <w:tcW w:type="dxa" w:w="3408"/>
            <w:vAlign w:val="center"/>
          </w:tcPr>
          <w:p>
            <w:r>
              <w:rPr>
                <w:sz w:val="16"/>
              </w:rPr>
              <w:t>Expected benefits: clearer evidence, review traceability, maturity visibility, consistent deficiency handling.</w:t>
            </w:r>
          </w:p>
        </w:tc>
        <w:tc>
          <w:tcPr>
            <w:tcW w:type="dxa" w:w="3408"/>
            <w:vAlign w:val="center"/>
          </w:tcPr>
          <w:p>
            <w:r>
              <w:rPr>
                <w:sz w:val="16"/>
              </w:rPr>
              <w:t>No invented percentage improvements.</w:t>
            </w:r>
          </w:p>
        </w:tc>
      </w:tr>
      <w:tr>
        <w:tc>
          <w:tcPr>
            <w:tcW w:type="dxa" w:w="3408"/>
            <w:vAlign w:val="center"/>
          </w:tcPr>
          <w:p>
            <w:r>
              <w:rPr>
                <w:sz w:val="16"/>
              </w:rPr>
              <w:t>5. Feasibility / viability</w:t>
            </w:r>
          </w:p>
        </w:tc>
        <w:tc>
          <w:tcPr>
            <w:tcW w:type="dxa" w:w="3408"/>
            <w:vAlign w:val="center"/>
          </w:tcPr>
          <w:p>
            <w:r>
              <w:rPr>
                <w:sz w:val="16"/>
              </w:rPr>
              <w:t>Modular monolith, SQLite prototype, synthetic data, adapter-based integrations, testable MVP.</w:t>
            </w:r>
          </w:p>
        </w:tc>
        <w:tc>
          <w:tcPr>
            <w:tcW w:type="dxa" w:w="3408"/>
            <w:vAlign w:val="center"/>
          </w:tcPr>
          <w:p>
            <w:r>
              <w:rPr>
                <w:sz w:val="16"/>
              </w:rPr>
              <w:t>Synthetic results are not real-world validation.</w:t>
            </w:r>
          </w:p>
        </w:tc>
      </w:tr>
      <w:tr>
        <w:tc>
          <w:tcPr>
            <w:tcW w:type="dxa" w:w="3408"/>
            <w:vAlign w:val="center"/>
          </w:tcPr>
          <w:p>
            <w:r>
              <w:rPr>
                <w:sz w:val="16"/>
              </w:rPr>
              <w:t>6. Research / references</w:t>
            </w:r>
          </w:p>
        </w:tc>
        <w:tc>
          <w:tcPr>
            <w:tcW w:type="dxa" w:w="3408"/>
            <w:vAlign w:val="center"/>
          </w:tcPr>
          <w:p>
            <w:r>
              <w:rPr>
                <w:sz w:val="16"/>
              </w:rPr>
              <w:t>AICTE RFP and handbook first; CVPR/DocTamper, FinCriticalED, pyHanko, NIST, OWASP.</w:t>
            </w:r>
          </w:p>
        </w:tc>
        <w:tc>
          <w:tcPr>
            <w:tcW w:type="dxa" w:w="3408"/>
            <w:vAlign w:val="center"/>
          </w:tcPr>
          <w:p>
            <w:r>
              <w:rPr>
                <w:sz w:val="16"/>
              </w:rPr>
              <w:t>Explain why each source informs a design choice; verify links/access.</w:t>
            </w:r>
          </w:p>
        </w:tc>
      </w:tr>
    </w:tbl>
    <w:p/>
    <w:p>
      <w:pPr>
        <w:pStyle w:val="Heading1"/>
      </w:pPr>
      <w:r>
        <w:t>15. Implementation order and definition of done</w:t>
      </w:r>
    </w:p>
    <w:p>
      <w:pPr>
        <w:pStyle w:val="ListNumber"/>
      </w:pPr>
      <w:r>
        <w:t>Freeze core workflow, roles, status model, configurable rule schema and API contract.</w:t>
      </w:r>
    </w:p>
    <w:p>
      <w:pPr>
        <w:pStyle w:val="ListNumber"/>
      </w:pPr>
      <w:r>
        <w:t>Create repository skeleton, environment setup, .env.example, .gitignore, database migrations/schema and deterministic synthetic seed.</w:t>
      </w:r>
    </w:p>
    <w:p>
      <w:pPr>
        <w:pStyle w:val="ListNumber"/>
      </w:pPr>
      <w:r>
        <w:t>Implement authentication, role checks and institution isolation before exposing records or files.</w:t>
      </w:r>
    </w:p>
    <w:p>
      <w:pPr>
        <w:pStyle w:val="ListNumber"/>
      </w:pPr>
      <w:r>
        <w:t>Implement FDR record CRUD, safe uploads, document versioning and SHA-256 integrity checks.</w:t>
      </w:r>
    </w:p>
    <w:p>
      <w:pPr>
        <w:pStyle w:val="ListNumber"/>
      </w:pPr>
      <w:r>
        <w:t>Implement rule-driven consistency checks and manual correction/evidence capture; add OCR behind an adapter only after installation test.</w:t>
      </w:r>
    </w:p>
    <w:p>
      <w:pPr>
        <w:pStyle w:val="ListNumber"/>
      </w:pPr>
      <w:r>
        <w:t>Implement lifecycle queue, configurable reminders, workflow transition validation and audit events.</w:t>
      </w:r>
    </w:p>
    <w:p>
      <w:pPr>
        <w:pStyle w:val="ListNumber"/>
      </w:pPr>
      <w:r>
        <w:t>Implement reviewer UI and evidence dossier; label demo bank verification visibly.</w:t>
      </w:r>
    </w:p>
    <w:p>
      <w:pPr>
        <w:pStyle w:val="ListNumber"/>
      </w:pPr>
      <w:r>
        <w:t>Run all functional/security tests; fix critical failures; capture only real test outputs.</w:t>
      </w:r>
    </w:p>
    <w:p>
      <w:pPr>
        <w:pStyle w:val="ListNumber"/>
      </w:pPr>
      <w:r>
        <w:t>Record a short demo that follows one clean record and one mismatch through review; then produce PPT screenshots and implementation notes.</w:t>
      </w:r>
    </w:p>
    <w:p>
      <w:pPr>
        <w:pStyle w:val="Heading1"/>
      </w:pPr>
      <w:r>
        <w:t>16. Source register</w:t>
      </w:r>
    </w:p>
    <w:p>
      <w:pPr>
        <w:pStyle w:val="ListBullet"/>
      </w:pPr>
      <w:r>
        <w:rPr>
          <w:b/>
        </w:rPr>
        <w:t xml:space="preserve">AICTE e-Governance RFP — Section 7.2.2 JFDR (official AICTE-hosted PDF): </w:t>
      </w:r>
      <w:r>
        <w:t>https://aicte.gov.in/sites/default/files/RFPeGov.pdf</w:t>
      </w:r>
      <w:r>
        <w:t xml:space="preserve"> — Online matured-FD refund application and progress tracking; supporting documents and multi-cell verification.</w:t>
      </w:r>
    </w:p>
    <w:p>
      <w:pPr>
        <w:pStyle w:val="ListBullet"/>
      </w:pPr>
      <w:r>
        <w:rPr>
          <w:b/>
        </w:rPr>
        <w:t xml:space="preserve">AICTE Approval Process Handbook 2024–2027 — Section 6.46 (official AICTE PDF): </w:t>
      </w:r>
      <w:r>
        <w:t>https://www.aicte.gov.in/sites/default/files/APH%20Final.pdf</w:t>
      </w:r>
      <w:r>
        <w:t xml:space="preserve"> — Release of security deposit requirements and clearances; verify applicable policy version.</w:t>
      </w:r>
    </w:p>
    <w:p>
      <w:pPr>
        <w:pStyle w:val="ListBullet"/>
      </w:pPr>
      <w:r>
        <w:rPr>
          <w:b/>
        </w:rPr>
        <w:t xml:space="preserve">CVPR 2023 paper: Towards Robust Tampered Text Detection in Document Image: </w:t>
      </w:r>
      <w:r>
        <w:t>https://openaccess.thecvf.com/content/CVPR2023/html/Qu_Towards_Robust_Tampered_Text_Detection_in_Document_Image_New_Dataset_New_Solution.html</w:t>
      </w:r>
      <w:r>
        <w:t xml:space="preserve"> — Research direction for tampering indicators; not FDR-specific.</w:t>
      </w:r>
    </w:p>
    <w:p>
      <w:pPr>
        <w:pStyle w:val="ListBullet"/>
      </w:pPr>
      <w:r>
        <w:rPr>
          <w:b/>
        </w:rPr>
        <w:t xml:space="preserve">Official DocTamper repository: </w:t>
      </w:r>
      <w:r>
        <w:t>https://github.com/qcf-568/DocTamper</w:t>
      </w:r>
      <w:r>
        <w:t xml:space="preserve"> — Dataset/code access and licence terms must be checked.</w:t>
      </w:r>
    </w:p>
    <w:p>
      <w:pPr>
        <w:pStyle w:val="ListBullet"/>
      </w:pPr>
      <w:r>
        <w:rPr>
          <w:b/>
        </w:rPr>
        <w:t xml:space="preserve">FinCriticalED project: </w:t>
      </w:r>
      <w:r>
        <w:t>https://the-finai.github.io/FinCriticalED/</w:t>
      </w:r>
      <w:r>
        <w:t xml:space="preserve"> — Financial fact-level OCR evaluation; not FDR-specific.</w:t>
      </w:r>
    </w:p>
    <w:p>
      <w:pPr>
        <w:pStyle w:val="ListBullet"/>
      </w:pPr>
      <w:r>
        <w:rPr>
          <w:b/>
        </w:rPr>
        <w:t xml:space="preserve">pyHanko PDF signature validation documentation: </w:t>
      </w:r>
      <w:r>
        <w:t>https://docs.pyhanko.eu/en/latest/cli-guide/validation.html</w:t>
      </w:r>
      <w:r>
        <w:t xml:space="preserve"> — Conditional digital-signature validation and trust context.</w:t>
      </w:r>
    </w:p>
    <w:p>
      <w:pPr>
        <w:pStyle w:val="ListBullet"/>
      </w:pPr>
      <w:r>
        <w:rPr>
          <w:b/>
        </w:rPr>
        <w:t xml:space="preserve">NIST FIPS 180-4 Secure Hash Standard: </w:t>
      </w:r>
      <w:r>
        <w:t>https://csrc.nist.gov/pubs/fips/180-4/upd1/final</w:t>
      </w:r>
      <w:r>
        <w:t xml:space="preserve"> — Technical basis for secure hash algorithms.</w:t>
      </w:r>
    </w:p>
    <w:p>
      <w:pPr>
        <w:pStyle w:val="ListBullet"/>
      </w:pPr>
      <w:r>
        <w:rPr>
          <w:b/>
        </w:rPr>
        <w:t xml:space="preserve">OWASP File Upload Cheat Sheet: </w:t>
      </w:r>
      <w:r>
        <w:t>https://cheatsheetseries.owasp.org/cheatsheets/File_Upload_Cheat_Sheet.html</w:t>
      </w:r>
      <w:r>
        <w:t xml:space="preserve"> — Secure upload controls.</w:t>
      </w:r>
    </w:p>
    <w:p>
      <w:pPr>
        <w:pStyle w:val="ListBullet"/>
      </w:pPr>
      <w:r>
        <w:rPr>
          <w:b/>
        </w:rPr>
        <w:t xml:space="preserve">OWASP Logging Cheat Sheet: </w:t>
      </w:r>
      <w:r>
        <w:t>https://cheatsheetseries.owasp.org/cheatsheets/Logging_Cheat_Sheet.html</w:t>
      </w:r>
      <w:r>
        <w:t xml:space="preserve"> — Security event logging and secret-safe practices.</w:t>
      </w:r>
    </w:p>
    <w:p>
      <w:pPr>
        <w:pStyle w:val="Heading1"/>
      </w:pPr>
      <w:r>
        <w:t>Final design principle</w:t>
      </w:r>
    </w:p>
    <w:p>
      <w:r>
        <w:rPr>
          <w:b/>
        </w:rPr>
        <w:t xml:space="preserve">Golden Rule #1: </w:t>
      </w:r>
      <w:r>
        <w:t>No hardcoded business rules, demo-only shortcuts presented as real functionality, or fabricated data presented as genuine verification. Configuration changes must be validated, permission-checked, versioned where policy-related, audited and tested.</w:t>
      </w:r>
    </w:p>
    <w:p>
      <w:r>
        <w:br w:type="page"/>
      </w:r>
    </w:p>
    <w:p>
      <w:pPr>
        <w:pStyle w:val="Title"/>
        <w:jc w:val="center"/>
      </w:pPr>
      <w:r>
        <w:t>IMPLEMENTATION ADDENDUM</w:t>
      </w:r>
    </w:p>
    <w:p>
      <w:pPr>
        <w:jc w:val="center"/>
      </w:pPr>
      <w:r>
        <w:rPr>
          <w:i/>
        </w:rPr>
        <w:t>CN, DSA, verification and reliability features</w:t>
      </w:r>
    </w:p>
    <w:p>
      <w:pPr>
        <w:pStyle w:val="Heading1"/>
      </w:pPr>
      <w:r>
        <w:t>Added Innovation Package: CN + DSA + Evidence-Centred Verification</w:t>
      </w:r>
    </w:p>
    <w:p>
      <w:r>
        <w:t>This section formalizes the additional features agreed for the DepositGuard prototype. It distinguishes requirements in the plan from features that are actually implemented and tested. A planned feature must not be described as completed until its acceptance tests pass.</w:t>
      </w:r>
    </w:p>
    <w:p>
      <w:pPr>
        <w:pStyle w:val="Heading2"/>
      </w:pPr>
      <w:r>
        <w:t>A. Document verification and lifecycle innovations</w:t>
      </w:r>
    </w:p>
    <w:tbl>
      <w:tblPr>
        <w:tblStyle w:val="LightShading-Accent1"/>
        <w:tblW w:type="auto" w:w="0"/>
        <w:tblLook w:firstColumn="1" w:firstRow="1" w:lastColumn="0" w:lastRow="0" w:noHBand="0" w:noVBand="1" w:val="04A0"/>
      </w:tblPr>
      <w:tblGrid>
        <w:gridCol w:w="5112"/>
        <w:gridCol w:w="5112"/>
      </w:tblGrid>
      <w:tr>
        <w:tc>
          <w:tcPr>
            <w:tcW w:type="dxa" w:w="5112"/>
            <w:shd w:fill="D9EAF7"/>
          </w:tcPr>
          <w:p>
            <w:r>
              <w:t>Feature</w:t>
            </w:r>
          </w:p>
        </w:tc>
        <w:tc>
          <w:tcPr>
            <w:tcW w:type="dxa" w:w="5112"/>
            <w:shd w:fill="D9EAF7"/>
          </w:tcPr>
          <w:p>
            <w:r>
              <w:t>Requirement</w:t>
            </w:r>
          </w:p>
        </w:tc>
      </w:tr>
      <w:tr>
        <w:tc>
          <w:tcPr>
            <w:tcW w:type="dxa" w:w="5112"/>
          </w:tcPr>
          <w:p>
            <w:r>
              <w:t>Tamper localization (advanced)</w:t>
            </w:r>
          </w:p>
        </w:tc>
        <w:tc>
          <w:tcPr>
            <w:tcW w:type="dxa" w:w="5112"/>
          </w:tcPr>
          <w:p>
            <w:r>
              <w:t>Where a suitable model or supported analysis is available, highlight the specific image region that merits inspection and show the method and confidence/limitations. If unsupported, report NOT_AVAILABLE or NOT_COMPLETED; never invent a heatmap or claim forgery.</w:t>
            </w:r>
          </w:p>
        </w:tc>
      </w:tr>
      <w:tr>
        <w:tc>
          <w:tcPr>
            <w:tcW w:type="dxa" w:w="5112"/>
          </w:tcPr>
          <w:p>
            <w:r>
              <w:t>FDR relationship graph</w:t>
            </w:r>
          </w:p>
        </w:tc>
        <w:tc>
          <w:tcPr>
            <w:tcW w:type="dxa" w:w="5112"/>
          </w:tcPr>
          <w:p>
            <w:r>
              <w:t>Connect an original FDR, renewals/replacements, supporting documents, verification events and release/refund requests. Provide a history-tracing view. Implement as relational links and traverse with BFS/DFS; a graph database is not required.</w:t>
            </w:r>
          </w:p>
        </w:tc>
      </w:tr>
      <w:tr>
        <w:tc>
          <w:tcPr>
            <w:tcW w:type="dxa" w:w="5112"/>
          </w:tcPr>
          <w:p>
            <w:r>
              <w:t>Document integrity</w:t>
            </w:r>
          </w:p>
        </w:tc>
        <w:tc>
          <w:tcPr>
            <w:tcW w:type="dxa" w:w="5112"/>
          </w:tcPr>
          <w:p>
            <w:r>
              <w:t>Calculate SHA-256 on receipt for each immutable upload version, store algorithm/hash/timestamp/uploader metadata, and re-hash before later use/export where appropriate. A hash proves only whether the stored bytes changed relative to the recorded digest, not that the original was genuine.</w:t>
            </w:r>
          </w:p>
        </w:tc>
      </w:tr>
      <w:tr>
        <w:tc>
          <w:tcPr>
            <w:tcW w:type="dxa" w:w="5112"/>
          </w:tcPr>
          <w:p>
            <w:r>
              <w:t>Deadline prioritization</w:t>
            </w:r>
          </w:p>
        </w:tc>
        <w:tc>
          <w:tcPr>
            <w:tcW w:type="dxa" w:w="5112"/>
          </w:tcPr>
          <w:p>
            <w:r>
              <w:t>Rank pending work using configurable rules for overdue actions, maturity proximity, unresolved discrepancies and pending clearances. Show a human-readable reason for every priority. Do not present prototype thresholds as official AICTE rules.</w:t>
            </w:r>
          </w:p>
        </w:tc>
      </w:tr>
      <w:tr>
        <w:tc>
          <w:tcPr>
            <w:tcW w:type="dxa" w:w="5112"/>
          </w:tcPr>
          <w:p>
            <w:r>
              <w:t>Bank verification adapter</w:t>
            </w:r>
          </w:p>
        </w:tc>
        <w:tc>
          <w:tcPr>
            <w:tcW w:type="dxa" w:w="5112"/>
          </w:tcPr>
          <w:p>
            <w:r>
              <w:t>Support LIVE_AUTHORIZED_VERIFICATION only with a genuinely approved integration and credentials; MANUAL_VERIFICATION; and DEMO_SIMULATED_VERIFICATION. Simulation must be unmistakably labelled and cannot be presented as a real bank response.</w:t>
            </w:r>
          </w:p>
        </w:tc>
      </w:tr>
      <w:tr>
        <w:tc>
          <w:tcPr>
            <w:tcW w:type="dxa" w:w="5112"/>
          </w:tcPr>
          <w:p>
            <w:r>
              <w:t>Evidence-linked dossier</w:t>
            </w:r>
          </w:p>
        </w:tc>
        <w:tc>
          <w:tcPr>
            <w:tcW w:type="dxa" w:w="5112"/>
          </w:tcPr>
          <w:p>
            <w:r>
              <w:t>For each instrument, report only checks actually performed, including outcomes, evidence references, timestamps, rule/software versions, unresolved items and officer decisions. Keep authenticity, file integrity, workflow status and risk/urgency separate.</w:t>
            </w:r>
          </w:p>
        </w:tc>
      </w:tr>
    </w:tbl>
    <w:p>
      <w:pPr>
        <w:pStyle w:val="Heading2"/>
      </w:pPr>
      <w:r>
        <w:t>B. Computer Networks (CN) features</w:t>
      </w:r>
    </w:p>
    <w:tbl>
      <w:tblPr>
        <w:tblStyle w:val="LightShading-Accent1"/>
        <w:tblW w:type="auto" w:w="0"/>
        <w:tblLook w:firstColumn="1" w:firstRow="1" w:lastColumn="0" w:lastRow="0" w:noHBand="0" w:noVBand="1" w:val="04A0"/>
      </w:tblPr>
      <w:tblGrid>
        <w:gridCol w:w="5112"/>
        <w:gridCol w:w="5112"/>
      </w:tblGrid>
      <w:tr>
        <w:tc>
          <w:tcPr>
            <w:tcW w:type="dxa" w:w="5112"/>
            <w:shd w:fill="D9EAF7"/>
          </w:tcPr>
          <w:p>
            <w:r>
              <w:t>Feature</w:t>
            </w:r>
          </w:p>
        </w:tc>
        <w:tc>
          <w:tcPr>
            <w:tcW w:type="dxa" w:w="5112"/>
            <w:shd w:fill="D9EAF7"/>
          </w:tcPr>
          <w:p>
            <w:r>
              <w:t>Requirement</w:t>
            </w:r>
          </w:p>
        </w:tc>
      </w:tr>
      <w:tr>
        <w:tc>
          <w:tcPr>
            <w:tcW w:type="dxa" w:w="5112"/>
          </w:tcPr>
          <w:p>
            <w:r>
              <w:t>Network/API security monitoring</w:t>
            </w:r>
          </w:p>
        </w:tc>
        <w:tc>
          <w:tcPr>
            <w:tcW w:type="dxa" w:w="5112"/>
          </w:tcPr>
          <w:p>
            <w:r>
              <w:t>Record API request counts and response classes, repeated failed logins, rate-limit events, processing failures and unusual spikes. Provide an admin view and auditable alerts. Avoid logging passwords, tokens, full sensitive documents or unnecessary personal data.</w:t>
            </w:r>
          </w:p>
        </w:tc>
      </w:tr>
      <w:tr>
        <w:tc>
          <w:tcPr>
            <w:tcW w:type="dxa" w:w="5112"/>
          </w:tcPr>
          <w:p>
            <w:r>
              <w:t>Reliable FDR Processing Pipeline</w:t>
            </w:r>
          </w:p>
        </w:tc>
        <w:tc>
          <w:tcPr>
            <w:tcW w:type="dxa" w:w="5112"/>
          </w:tcPr>
          <w:p>
            <w:r>
              <w:t>Put document-processing jobs into a queue; show Queued/Processing/Completed/Failed states; use timeouts, bounded retries with backoff, failure reasons and a dead-letter/manual-retry path where feasible.</w:t>
            </w:r>
          </w:p>
        </w:tc>
      </w:tr>
      <w:tr>
        <w:tc>
          <w:tcPr>
            <w:tcW w:type="dxa" w:w="5112"/>
          </w:tcPr>
          <w:p>
            <w:r>
              <w:t>Safe retries and idempotency</w:t>
            </w:r>
          </w:p>
        </w:tc>
        <w:tc>
          <w:tcPr>
            <w:tcW w:type="dxa" w:w="5112"/>
          </w:tcPr>
          <w:p>
            <w:r>
              <w:t>Give each submission/job a stable idempotency key or equivalent uniqueness rule. Retrying the same operation must not create a second FDR record, duplicate audit decision or repeat a completed side effect.</w:t>
            </w:r>
          </w:p>
        </w:tc>
      </w:tr>
      <w:tr>
        <w:tc>
          <w:tcPr>
            <w:tcW w:type="dxa" w:w="5112"/>
          </w:tcPr>
          <w:p>
            <w:r>
              <w:t>Background document processing</w:t>
            </w:r>
          </w:p>
        </w:tc>
        <w:tc>
          <w:tcPr>
            <w:tcW w:type="dxa" w:w="5112"/>
          </w:tcPr>
          <w:p>
            <w:r>
              <w:t>Move OCR, hash/signature checks and supported analysis into background workers so upload/API responses remain responsive. For a local prototype, a lightweight in-process worker or SQLite-backed job table is acceptable; avoid claiming production-grade distributed scalability.</w:t>
            </w:r>
          </w:p>
        </w:tc>
      </w:tr>
    </w:tbl>
    <w:p>
      <w:pPr>
        <w:pStyle w:val="Heading2"/>
      </w:pPr>
      <w:r>
        <w:t>C. Data Structures and Algorithms (DSA) features</w:t>
      </w:r>
    </w:p>
    <w:tbl>
      <w:tblPr>
        <w:tblStyle w:val="LightShading-Accent1"/>
        <w:tblW w:type="auto" w:w="0"/>
        <w:tblLook w:firstColumn="1" w:firstRow="1" w:lastColumn="0" w:lastRow="0" w:noHBand="0" w:noVBand="1" w:val="04A0"/>
      </w:tblPr>
      <w:tblGrid>
        <w:gridCol w:w="5112"/>
        <w:gridCol w:w="5112"/>
      </w:tblGrid>
      <w:tr>
        <w:tc>
          <w:tcPr>
            <w:tcW w:type="dxa" w:w="5112"/>
            <w:shd w:fill="D9EAF7"/>
          </w:tcPr>
          <w:p>
            <w:r>
              <w:t>DSA concept</w:t>
            </w:r>
          </w:p>
        </w:tc>
        <w:tc>
          <w:tcPr>
            <w:tcW w:type="dxa" w:w="5112"/>
            <w:shd w:fill="D9EAF7"/>
          </w:tcPr>
          <w:p>
            <w:r>
              <w:t>Requirement</w:t>
            </w:r>
          </w:p>
        </w:tc>
      </w:tr>
      <w:tr>
        <w:tc>
          <w:tcPr>
            <w:tcW w:type="dxa" w:w="5112"/>
          </w:tcPr>
          <w:p>
            <w:r>
              <w:t>FDR lifecycle graph — BFS/DFS</w:t>
            </w:r>
          </w:p>
        </w:tc>
        <w:tc>
          <w:tcPr>
            <w:tcW w:type="dxa" w:w="5112"/>
          </w:tcPr>
          <w:p>
            <w:r>
              <w:t>Store explicit relationship edges among original instruments, renewals/replacements, supporting documents and requests. Provide a trace-history action using BFS/DFS and guard against cycles or inaccessible records.</w:t>
            </w:r>
          </w:p>
        </w:tc>
      </w:tr>
      <w:tr>
        <w:tc>
          <w:tcPr>
            <w:tcW w:type="dxa" w:w="5112"/>
          </w:tcPr>
          <w:p>
            <w:r>
              <w:t>Urgency queue — priority queue/heap</w:t>
            </w:r>
          </w:p>
        </w:tc>
        <w:tc>
          <w:tcPr>
            <w:tcW w:type="dxa" w:w="5112"/>
          </w:tcPr>
          <w:p>
            <w:r>
              <w:t>Use a priority queue or heap in the review-queue service. Priority comes from versioned, database-backed rules/configuration, and every displayed priority includes an explanation. Persist cases in the database; do not rely on an in-memory heap as the source of truth.</w:t>
            </w:r>
          </w:p>
        </w:tc>
      </w:tr>
      <w:tr>
        <w:tc>
          <w:tcPr>
            <w:tcW w:type="dxa" w:w="5112"/>
          </w:tcPr>
          <w:p>
            <w:r>
              <w:t>Fast lookup and duplicate flags — indexes/hashing</w:t>
            </w:r>
          </w:p>
        </w:tc>
        <w:tc>
          <w:tcPr>
            <w:tcW w:type="dxa" w:w="5112"/>
          </w:tcPr>
          <w:p>
            <w:r>
              <w:t>Use database indexes and uniqueness constraints for normalized identifiers within the appropriate scope; use SHA-256 for exact-file duplicate detection and optional normalized/fuzzy matching to flag candidates. A match is not proof of fraud.</w:t>
            </w:r>
          </w:p>
        </w:tc>
      </w:tr>
      <w:tr>
        <w:tc>
          <w:tcPr>
            <w:tcW w:type="dxa" w:w="5112"/>
          </w:tcPr>
          <w:p>
            <w:r>
              <w:t>Workflow state machine</w:t>
            </w:r>
          </w:p>
        </w:tc>
        <w:tc>
          <w:tcPr>
            <w:tcW w:type="dxa" w:w="5112"/>
          </w:tcPr>
          <w:p>
            <w:r>
              <w:t>Define allowed transitions as configurable workflow data where practical and validate them server-side. Enforce role/permission checks, required evidence and separation of duties. Invalid transitions must fail safely and create an appropriate audit event.</w:t>
            </w:r>
          </w:p>
        </w:tc>
      </w:tr>
    </w:tbl>
    <w:p>
      <w:pPr>
        <w:pStyle w:val="Heading2"/>
      </w:pPr>
      <w:r>
        <w:t>D. Implementation priority and scope</w:t>
      </w:r>
    </w:p>
    <w:p>
      <w:pPr>
        <w:pStyle w:val="ListBullet"/>
      </w:pPr>
      <w:r>
        <w:t>P0 — Core prototype: SHA-256 file-integrity history; FDR relationship links/history; configurable urgency queue with explanations; server-enforced workflow state machine; indexed identifier lookup and exact-file duplicate flags; clear manual/simulated bank-verification modes; evidence-linked audit dossier.</w:t>
      </w:r>
    </w:p>
    <w:p>
      <w:pPr>
        <w:pStyle w:val="ListBullet"/>
      </w:pPr>
      <w:r>
        <w:t>P1 — Strong demo: reliable processing pipeline with queue states, bounded retries and idempotency; background document processing; API/security-event monitoring; accessible multilingual/read-aloud interface.</w:t>
      </w:r>
    </w:p>
    <w:p>
      <w:pPr>
        <w:pStyle w:val="ListBullet"/>
      </w:pPr>
      <w:r>
        <w:t>P2 — Advanced/conditional: tamper localization, only if a suitable model/library and defensible evaluation are available; live bank integration, only with formal authorization and usable official interfaces.</w:t>
      </w:r>
    </w:p>
    <w:p>
      <w:r>
        <w:t>These are project-team implementation priorities, not official AICTE priorities. Under a short hackathon deadline, a truthful, well-tested P0/P1 prototype is stronger than a broad feature list with simulated or incomplete functions presented as live.</w:t>
      </w:r>
    </w:p>
    <w:p>
      <w:pPr>
        <w:pStyle w:val="Heading2"/>
      </w:pPr>
      <w:r>
        <w:t>E. Configuration-first rule (Golden Rule #1)</w:t>
      </w:r>
    </w:p>
    <w:p>
      <w:r>
        <w:t>Business-related values must not be hardcoded in application logic. Use validated, versioned configuration/database records for maturity windows, reminder timing, urgency weights, retry limits/timeouts, workflow transitions, document requirements, OCR mappings, bank mode, roles and institution-specific policy. Every configurable rule should have a test proving that changing the configuration changes behavior without a source-code edit. Keep secrets in environment variables/secret storage, never in source control. Fixed technical invariants (for example SHA-256 as the chosen integrity algorithm) may remain code-level decisions.</w:t>
      </w:r>
    </w:p>
    <w:p>
      <w:pPr>
        <w:pStyle w:val="Heading2"/>
      </w:pPr>
      <w:r>
        <w:t>F. Acceptance tests to add</w:t>
      </w:r>
    </w:p>
    <w:p>
      <w:pPr>
        <w:pStyle w:val="ListNumber"/>
      </w:pPr>
      <w:r>
        <w:t>Changing a configured maturity window changes reminder/priority behavior without code edits.</w:t>
      </w:r>
    </w:p>
    <w:p>
      <w:pPr>
        <w:pStyle w:val="ListNumber"/>
      </w:pPr>
      <w:r>
        <w:t>A changed file produces an integrity mismatch against its original stored SHA-256; an unchanged file passes the integrity comparison.</w:t>
      </w:r>
    </w:p>
    <w:p>
      <w:pPr>
        <w:pStyle w:val="ListNumber"/>
      </w:pPr>
      <w:r>
        <w:t>The lifecycle trace shows linked original/replacement/request records and does not leak another institution's records.</w:t>
      </w:r>
    </w:p>
    <w:p>
      <w:pPr>
        <w:pStyle w:val="ListNumber"/>
      </w:pPr>
      <w:r>
        <w:t>An overdue case ranks ahead of a routine case according to the active configuration, with a displayed reason.</w:t>
      </w:r>
    </w:p>
    <w:p>
      <w:pPr>
        <w:pStyle w:val="ListNumber"/>
      </w:pPr>
      <w:r>
        <w:t>An invalid workflow transition is rejected by the backend, even if a client calls the API directly.</w:t>
      </w:r>
    </w:p>
    <w:p>
      <w:pPr>
        <w:pStyle w:val="ListNumber"/>
      </w:pPr>
      <w:r>
        <w:t>Retrying the same upload-processing job does not create duplicate records or duplicate side effects.</w:t>
      </w:r>
    </w:p>
    <w:p>
      <w:pPr>
        <w:pStyle w:val="ListNumber"/>
      </w:pPr>
      <w:r>
        <w:t>A transient job failure retries only within configured limits and ends in a visible terminal/manual-review state.</w:t>
      </w:r>
    </w:p>
    <w:p>
      <w:pPr>
        <w:pStyle w:val="ListNumber"/>
      </w:pPr>
      <w:r>
        <w:t>API/security monitoring records repeated failed logins without storing credentials or tokens.</w:t>
      </w:r>
    </w:p>
    <w:p>
      <w:pPr>
        <w:pStyle w:val="ListNumber"/>
      </w:pPr>
      <w:r>
        <w:t>Simulated bank verification is visibly labelled SIMULATED in the UI, logs and generated dossier.</w:t>
      </w:r>
    </w:p>
    <w:p>
      <w:pPr>
        <w:pStyle w:val="ListNumber"/>
      </w:pPr>
      <w:r>
        <w:t>Tamper localization is marked unavailable/not completed when no supported model ran; no fabricated region overlay is displayed.</w:t>
      </w:r>
    </w:p>
    <w:p>
      <w:pPr>
        <w:pStyle w:val="ListNumber"/>
      </w:pPr>
      <w:r>
        <w:t>Each dossier lists actual checks and their outcomes; unavailable, indeterminate and failed checks are never silently treated as passed.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F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66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