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6324F"/>
          <w:sz w:val="68"/>
        </w:rPr>
        <w:t>DEPOSITGUARD</w:t>
      </w:r>
    </w:p>
    <w:p>
      <w:pPr>
        <w:jc w:val="center"/>
      </w:pPr>
      <w:r>
        <w:rPr>
          <w:b/>
          <w:color w:val="087E8B"/>
          <w:sz w:val="32"/>
        </w:rPr>
        <w:t>Security Deposit / FDR Lifecycle Assurance Platform</w:t>
      </w:r>
    </w:p>
    <w:p>
      <w:pPr>
        <w:spacing w:before="360"/>
        <w:jc w:val="center"/>
      </w:pPr>
      <w:r>
        <w:rPr>
          <w:b/>
          <w:color w:val="2E5EAA"/>
          <w:sz w:val="26"/>
        </w:rPr>
        <w:t>MASTER PROJECT REFERENCE</w:t>
      </w:r>
    </w:p>
    <w:p>
      <w:pPr>
        <w:jc w:val="center"/>
      </w:pPr>
      <w:r>
        <w:t>Problem statement coverage • Research-grounded solution • Innovation • Feasibility &amp; viability • Technical blueprint • Testing plan</w:t>
      </w:r>
    </w:p>
    <w:p>
      <w:pPr>
        <w:spacing w:before="560"/>
        <w:jc w:val="center"/>
      </w:pPr>
      <w:r>
        <w:t>SIH / ACIT PS1 working document</w:t>
        <w:br/>
        <w:t>Version 1.0  |  26 October 2026</w:t>
        <w:br/>
        <w:t>Prototype-first • Evidence-led • Configurable • Human-reviewed</w:t>
      </w:r>
    </w:p>
    <w:p/>
    <w:tbl>
      <w:tblPr>
        <w:tblStyle w:val="TableGrid"/>
        <w:tblW w:type="auto" w:w="0"/>
        <w:tblLook w:firstColumn="1" w:firstRow="1" w:lastColumn="0" w:lastRow="0" w:noHBand="0" w:noVBand="1" w:val="04A0"/>
      </w:tblPr>
      <w:tblGrid>
        <w:gridCol w:w="10166"/>
      </w:tblGrid>
      <w:tr>
        <w:trPr>
          <w:cantSplit/>
        </w:trPr>
        <w:tc>
          <w:tcPr>
            <w:tcW w:type="dxa" w:w="10166"/>
            <w:shd w:fill="EAF1F7"/>
          </w:tcPr>
          <w:p>
            <w:pPr>
              <w:spacing w:after="40"/>
            </w:pPr>
            <w:r/>
            <w:r>
              <w:rPr>
                <w:b/>
                <w:color w:val="16324F"/>
                <w:sz w:val="20"/>
              </w:rPr>
              <w:t>Purpose of this document</w:t>
              <w:br/>
            </w:r>
            <w:r>
              <w:rPr>
                <w:sz w:val="18"/>
              </w:rPr>
              <w:t>This is the single reference document for deciding what DepositGuard is, why it is justified, what it must do, how the prototype should be built, how feasibility will be demonstrated, and what claims must remain qualified. It consolidates the problem statement supplied by the team, the AICTE/FDR research survey, and the agreed project design.</w:t>
            </w:r>
          </w:p>
        </w:tc>
      </w:tr>
    </w:tbl>
    <w:p>
      <w:pPr>
        <w:spacing w:after="0"/>
      </w:pPr>
    </w:p>
    <w:tbl>
      <w:tblPr>
        <w:tblStyle w:val="TableGrid"/>
        <w:tblW w:type="auto" w:w="0"/>
        <w:tblLook w:firstColumn="1" w:firstRow="1" w:lastColumn="0" w:lastRow="0" w:noHBand="0" w:noVBand="1" w:val="04A0"/>
      </w:tblPr>
      <w:tblGrid>
        <w:gridCol w:w="10166"/>
      </w:tblGrid>
      <w:tr>
        <w:trPr>
          <w:cantSplit/>
        </w:trPr>
        <w:tc>
          <w:tcPr>
            <w:tcW w:type="dxa" w:w="10166"/>
            <w:shd w:fill="FFF4D6"/>
          </w:tcPr>
          <w:p>
            <w:pPr>
              <w:spacing w:after="40"/>
            </w:pPr>
            <w:r/>
            <w:r>
              <w:rPr>
                <w:b/>
                <w:color w:val="16324F"/>
                <w:sz w:val="20"/>
              </w:rPr>
              <w:t>Status and evidence boundary</w:t>
              <w:br/>
            </w:r>
            <w:r>
              <w:rPr>
                <w:sz w:val="18"/>
              </w:rPr>
              <w:t>DepositGuard is a proposed prototype, not an AICTE-endorsed product and not yet an implemented system. The survey found official documentation of an online matured-FD refund process and progress tracking. It did not audit the complete currently deployed portal. Proposed capabilities are potential complementary improvements—not proof that AICTE currently lacks them.</w:t>
            </w:r>
          </w:p>
        </w:tc>
      </w:tr>
    </w:tbl>
    <w:p>
      <w:pPr>
        <w:spacing w:after="0"/>
      </w:pPr>
    </w:p>
    <w:p>
      <w:r>
        <w:br w:type="page"/>
      </w:r>
    </w:p>
    <w:p>
      <w:pPr>
        <w:pStyle w:val="Heading1"/>
      </w:pPr>
      <w:r>
        <w:t>Document map</w:t>
      </w:r>
    </w:p>
    <w:p>
      <w:pPr>
        <w:pStyle w:val="ListBullet"/>
        <w:spacing w:after="40"/>
      </w:pPr>
      <w:r>
        <w:t>1. Executive summary and project positioning</w:t>
      </w:r>
    </w:p>
    <w:p>
      <w:pPr>
        <w:pStyle w:val="ListBullet"/>
        <w:spacing w:after="40"/>
      </w:pPr>
      <w:r>
        <w:t>2. Problem statement interpretation and research baseline</w:t>
      </w:r>
    </w:p>
    <w:p>
      <w:pPr>
        <w:pStyle w:val="ListBullet"/>
        <w:spacing w:after="40"/>
      </w:pPr>
      <w:r>
        <w:t>3. Goals, scope and non-goals</w:t>
      </w:r>
    </w:p>
    <w:p>
      <w:pPr>
        <w:pStyle w:val="ListBullet"/>
        <w:spacing w:after="40"/>
      </w:pPr>
      <w:r>
        <w:t>4. Complete feature specification</w:t>
      </w:r>
    </w:p>
    <w:p>
      <w:pPr>
        <w:pStyle w:val="ListBullet"/>
        <w:spacing w:after="40"/>
      </w:pPr>
      <w:r>
        <w:t>5. Innovation and differentiators</w:t>
      </w:r>
    </w:p>
    <w:p>
      <w:pPr>
        <w:pStyle w:val="ListBullet"/>
        <w:spacing w:after="40"/>
      </w:pPr>
      <w:r>
        <w:t>6. End-to-end workflows</w:t>
      </w:r>
    </w:p>
    <w:p>
      <w:pPr>
        <w:pStyle w:val="ListBullet"/>
        <w:spacing w:after="40"/>
      </w:pPr>
      <w:r>
        <w:t>7. Roles, permissions and governance</w:t>
      </w:r>
    </w:p>
    <w:p>
      <w:pPr>
        <w:pStyle w:val="ListBullet"/>
        <w:spacing w:after="40"/>
      </w:pPr>
      <w:r>
        <w:t>8. Technical architecture and recommended stack</w:t>
      </w:r>
    </w:p>
    <w:p>
      <w:pPr>
        <w:pStyle w:val="ListBullet"/>
        <w:spacing w:after="40"/>
      </w:pPr>
      <w:r>
        <w:t>9. Data model and Golden Rule #1</w:t>
      </w:r>
    </w:p>
    <w:p>
      <w:pPr>
        <w:pStyle w:val="ListBullet"/>
        <w:spacing w:after="40"/>
      </w:pPr>
      <w:r>
        <w:t>10. Security, privacy and responsible verification</w:t>
      </w:r>
    </w:p>
    <w:p>
      <w:pPr>
        <w:pStyle w:val="ListBullet"/>
        <w:spacing w:after="40"/>
      </w:pPr>
      <w:r>
        <w:t>11. Feasibility and viability assessment</w:t>
      </w:r>
    </w:p>
    <w:p>
      <w:pPr>
        <w:pStyle w:val="ListBullet"/>
        <w:spacing w:after="40"/>
      </w:pPr>
      <w:r>
        <w:t>12. Evaluation plan and measurable outcomes</w:t>
      </w:r>
    </w:p>
    <w:p>
      <w:pPr>
        <w:pStyle w:val="ListBullet"/>
        <w:spacing w:after="40"/>
      </w:pPr>
      <w:r>
        <w:t>13. Acceptance criteria and test scenarios</w:t>
      </w:r>
    </w:p>
    <w:p>
      <w:pPr>
        <w:pStyle w:val="ListBullet"/>
        <w:spacing w:after="40"/>
      </w:pPr>
      <w:r>
        <w:t>14. Three-person execution plan and build order</w:t>
      </w:r>
    </w:p>
    <w:p>
      <w:pPr>
        <w:pStyle w:val="ListBullet"/>
        <w:spacing w:after="40"/>
      </w:pPr>
      <w:r>
        <w:t>15. Risks, dependencies and mitigations</w:t>
      </w:r>
    </w:p>
    <w:p>
      <w:pPr>
        <w:pStyle w:val="ListBullet"/>
        <w:spacing w:after="40"/>
      </w:pPr>
      <w:r>
        <w:t>16. Six-slide presentation mapping</w:t>
      </w:r>
    </w:p>
    <w:p>
      <w:pPr>
        <w:pStyle w:val="ListBullet"/>
        <w:spacing w:after="40"/>
      </w:pPr>
      <w:r>
        <w:t>17. Research references and source-use notes</w:t>
      </w:r>
    </w:p>
    <w:p>
      <w:pPr>
        <w:pStyle w:val="ListBullet"/>
        <w:spacing w:after="40"/>
      </w:pPr>
      <w:r>
        <w:t>18. Final project checklist</w:t>
      </w:r>
    </w:p>
    <w:p>
      <w:r>
        <w:br w:type="page"/>
      </w:r>
    </w:p>
    <w:p>
      <w:pPr>
        <w:pStyle w:val="Heading1"/>
      </w:pPr>
      <w:r>
        <w:t>1. Executive summary and project positioning</w:t>
      </w:r>
    </w:p>
    <w:p>
      <w:r>
        <w:t>DepositGuard is a configurable, evidence-driven Security Deposit / Fixed Deposit Receipt (FDR) lifecycle management prototype for the administrative context described in AICTE Problem Statement 1. It connects institution-wise and instrument-wise records with supporting documents, field-level checks, file-integrity history, maturity and renewal monitoring, deficiency resolution, release/refund workflow, human review and audit evidence.</w:t>
      </w:r>
    </w:p>
    <w:p>
      <w:r>
        <w:t>The project is not framed as the first online FDR portal or as a replacement for AICTE's existing process. The research survey found that AICTE's published e-Governance RFP documents an online application process for refund of matured FDs and progress tracking, and the Approval Process Handbook 2024–2027 describes required documents and clearances for security-deposit release. The exact current live portal capabilities have not been independently audited.</w:t>
      </w:r>
    </w:p>
    <w:tbl>
      <w:tblPr>
        <w:tblStyle w:val="TableGrid"/>
        <w:tblW w:type="auto" w:w="0"/>
        <w:tblLook w:firstColumn="1" w:firstRow="1" w:lastColumn="0" w:lastRow="0" w:noHBand="0" w:noVBand="1" w:val="04A0"/>
      </w:tblPr>
      <w:tblGrid>
        <w:gridCol w:w="10166"/>
      </w:tblGrid>
      <w:tr>
        <w:trPr>
          <w:cantSplit/>
        </w:trPr>
        <w:tc>
          <w:tcPr>
            <w:tcW w:type="dxa" w:w="10166"/>
            <w:shd w:fill="EAF1F7"/>
          </w:tcPr>
          <w:p>
            <w:pPr>
              <w:spacing w:after="40"/>
            </w:pPr>
            <w:r/>
            <w:r>
              <w:rPr>
                <w:b/>
                <w:color w:val="16324F"/>
                <w:sz w:val="20"/>
              </w:rPr>
              <w:t>Core promise</w:t>
              <w:br/>
            </w:r>
            <w:r>
              <w:rPr>
                <w:sz w:val="18"/>
              </w:rPr>
              <w:t>For each FDR, DepositGuard helps authorised users answer: What information was submitted? Which checks were actually performed? What evidence supports each result? What remains uncertain? What action is required next?</w:t>
            </w:r>
          </w:p>
        </w:tc>
      </w:tr>
    </w:tbl>
    <w:p>
      <w:pPr>
        <w:spacing w:after="0"/>
      </w:pPr>
    </w:p>
    <w:p>
      <w:pPr>
        <w:pStyle w:val="Heading2"/>
      </w:pPr>
      <w:r>
        <w:t>One-sentence pitch</w:t>
      </w:r>
    </w:p>
    <w:p>
      <w:r>
        <w:t>DepositGuard is a configurable FDR lifecycle assurance platform that combines evidence-linked document checks, deadline and renewal monitoring, deficiency resolution, authorised release workflows, and traceable review records—while clearly separating submitted information from independently confirmed bank evidence.</w:t>
      </w:r>
    </w:p>
    <w:p>
      <w:pPr>
        <w:pStyle w:val="Heading2"/>
      </w:pPr>
      <w:r>
        <w:t>Project objectives</w:t>
      </w:r>
    </w:p>
    <w:p>
      <w:pPr>
        <w:pStyle w:val="ListBullet"/>
        <w:spacing w:after="40"/>
      </w:pPr>
      <w:r>
        <w:t>Centralise instrument records, supporting documents, lifecycle dates and review history.</w:t>
      </w:r>
    </w:p>
    <w:p>
      <w:pPr>
        <w:pStyle w:val="ListBullet"/>
        <w:spacing w:after="40"/>
      </w:pPr>
      <w:r>
        <w:t>Identify missing fields, document gaps and cross-document inconsistencies with evidence references.</w:t>
      </w:r>
    </w:p>
    <w:p>
      <w:pPr>
        <w:pStyle w:val="ListBullet"/>
        <w:spacing w:after="40"/>
      </w:pPr>
      <w:r>
        <w:t>Track maturity, renewal/replacement, release/refund requests, pending clearances and overdue actions.</w:t>
      </w:r>
    </w:p>
    <w:p>
      <w:pPr>
        <w:pStyle w:val="ListBullet"/>
        <w:spacing w:after="40"/>
      </w:pPr>
      <w:r>
        <w:t>Record whether verification was automated, manual, live-authorised, simulated or not completed.</w:t>
      </w:r>
    </w:p>
    <w:p>
      <w:pPr>
        <w:pStyle w:val="ListBullet"/>
        <w:spacing w:after="40"/>
      </w:pPr>
      <w:r>
        <w:t>Support human decisions through a traceable dossier instead of an unexplained genuine/fake label.</w:t>
      </w:r>
    </w:p>
    <w:p>
      <w:pPr>
        <w:pStyle w:val="ListBullet"/>
        <w:spacing w:after="40"/>
      </w:pPr>
      <w:r>
        <w:t>Make the application usable through multilingual, read-aloud and accessibility features where feasible.</w:t>
      </w:r>
    </w:p>
    <w:p>
      <w:pPr>
        <w:pStyle w:val="ListBullet"/>
        <w:spacing w:after="40"/>
      </w:pPr>
      <w:r>
        <w:t>Evaluate the prototype with reproducible synthetic test cases and report measured results honestly.</w:t>
      </w:r>
    </w:p>
    <w:p>
      <w:pPr>
        <w:pStyle w:val="Heading1"/>
      </w:pPr>
      <w:r>
        <w:t>2. Problem statement interpretation and research baseline</w:t>
      </w:r>
    </w:p>
    <w:p>
      <w:pPr>
        <w:pStyle w:val="Heading2"/>
      </w:pPr>
      <w:r>
        <w:t>2.1 What the supplied problem statement asks for</w:t>
      </w:r>
    </w:p>
    <w:p>
      <w:r>
        <w:t>The expected portal should support institution-wise and instrument-wise records; secure digital document handling; verification and discrepancy flags; maturity and validity monitoring; renewal/replacement tracking; release/refund requests; reminders and escalation; consolidated dashboards and reports; role-based access; audit trails; security controls; and authorised integrations where technically and formally possible.</w:t>
      </w:r>
    </w:p>
    <w:p>
      <w:pPr>
        <w:pStyle w:val="Heading2"/>
      </w:pPr>
      <w:r>
        <w:t>2.2 What the research survey established</w:t>
      </w:r>
    </w:p>
    <w:tbl>
      <w:tblPr>
        <w:tblStyle w:val="TableGrid"/>
        <w:tblW w:type="auto" w:w="0"/>
        <w:jc w:val="center"/>
        <w:tblLook w:firstColumn="1" w:firstRow="1" w:lastColumn="0" w:lastRow="0" w:noHBand="0" w:noVBand="1" w:val="04A0"/>
      </w:tblPr>
      <w:tblGrid>
        <w:gridCol w:w="5083"/>
        <w:gridCol w:w="5083"/>
      </w:tblGrid>
      <w:tr>
        <w:trPr>
          <w:cantSplit/>
        </w:trPr>
        <w:tc>
          <w:tcPr>
            <w:tcW w:type="dxa" w:w="3816"/>
            <w:vAlign w:val="center"/>
            <w:shd w:fill="16324F"/>
          </w:tcPr>
          <w:p>
            <w:pPr>
              <w:spacing w:after="20"/>
            </w:pPr>
            <w:r/>
            <w:r>
              <w:rPr>
                <w:rFonts w:ascii="Aptos" w:hAnsi="Aptos"/>
                <w:b/>
                <w:color w:val="FFFFFF"/>
                <w:sz w:val="16"/>
              </w:rPr>
              <w:t>Research finding</w:t>
            </w:r>
          </w:p>
        </w:tc>
        <w:tc>
          <w:tcPr>
            <w:tcW w:type="dxa" w:w="6120"/>
            <w:vAlign w:val="center"/>
            <w:shd w:fill="16324F"/>
          </w:tcPr>
          <w:p>
            <w:pPr>
              <w:spacing w:after="20"/>
            </w:pPr>
            <w:r/>
            <w:r>
              <w:rPr>
                <w:rFonts w:ascii="Aptos" w:hAnsi="Aptos"/>
                <w:b/>
                <w:color w:val="FFFFFF"/>
                <w:sz w:val="16"/>
              </w:rPr>
              <w:t>Design consequence</w:t>
            </w:r>
          </w:p>
        </w:tc>
      </w:tr>
      <w:tr>
        <w:trPr>
          <w:cantSplit/>
        </w:trPr>
        <w:tc>
          <w:tcPr>
            <w:tcW w:type="dxa" w:w="3816"/>
            <w:vAlign w:val="center"/>
          </w:tcPr>
          <w:p>
            <w:pPr>
              <w:spacing w:after="20"/>
            </w:pPr>
            <w:r/>
            <w:r>
              <w:rPr>
                <w:rFonts w:ascii="Aptos" w:hAnsi="Aptos"/>
                <w:b w:val="0"/>
                <w:sz w:val="16"/>
              </w:rPr>
              <w:t>AICTE e-Governance RFP Section 7.2.2 (JFDR) documents online applications for matured-FD refunds and progress tracking, with document submission, multi-cell review, deficiency/resubmission and release after required verification.</w:t>
            </w:r>
          </w:p>
        </w:tc>
        <w:tc>
          <w:tcPr>
            <w:tcW w:type="dxa" w:w="6120"/>
            <w:vAlign w:val="center"/>
          </w:tcPr>
          <w:p>
            <w:pPr>
              <w:spacing w:after="20"/>
            </w:pPr>
            <w:r/>
            <w:r>
              <w:rPr>
                <w:rFonts w:ascii="Aptos" w:hAnsi="Aptos"/>
                <w:b w:val="0"/>
                <w:sz w:val="16"/>
              </w:rPr>
              <w:t>Do not claim that no online portal, tracking or workflow exists. Position DepositGuard as a prototype for evidence-linked lifecycle assurance that may complement existing workflows.</w:t>
            </w:r>
          </w:p>
        </w:tc>
      </w:tr>
      <w:tr>
        <w:trPr>
          <w:cantSplit/>
        </w:trPr>
        <w:tc>
          <w:tcPr>
            <w:tcW w:type="dxa" w:w="3816"/>
            <w:vAlign w:val="center"/>
            <w:shd w:fill="F4F7FA"/>
          </w:tcPr>
          <w:p>
            <w:pPr>
              <w:spacing w:after="20"/>
            </w:pPr>
            <w:r/>
            <w:r>
              <w:rPr>
                <w:rFonts w:ascii="Aptos" w:hAnsi="Aptos"/>
                <w:b w:val="0"/>
                <w:sz w:val="16"/>
              </w:rPr>
              <w:t>AICTE Approval Process Handbook 2024–2027 Section 6.46 describes documents and clearances relevant to security-deposit/FDR release.</w:t>
            </w:r>
          </w:p>
        </w:tc>
        <w:tc>
          <w:tcPr>
            <w:tcW w:type="dxa" w:w="6120"/>
            <w:vAlign w:val="center"/>
            <w:shd w:fill="F4F7FA"/>
          </w:tcPr>
          <w:p>
            <w:pPr>
              <w:spacing w:after="20"/>
            </w:pPr>
            <w:r/>
            <w:r>
              <w:rPr>
                <w:rFonts w:ascii="Aptos" w:hAnsi="Aptos"/>
                <w:b w:val="0"/>
                <w:sz w:val="16"/>
              </w:rPr>
              <w:t>Model document requirements, clearances and approval gates as configurable policy/workflow data. Never auto-release because a technical check passed.</w:t>
            </w:r>
          </w:p>
        </w:tc>
      </w:tr>
      <w:tr>
        <w:trPr>
          <w:cantSplit/>
        </w:trPr>
        <w:tc>
          <w:tcPr>
            <w:tcW w:type="dxa" w:w="3816"/>
            <w:vAlign w:val="center"/>
          </w:tcPr>
          <w:p>
            <w:pPr>
              <w:spacing w:after="20"/>
            </w:pPr>
            <w:r/>
            <w:r>
              <w:rPr>
                <w:rFonts w:ascii="Aptos" w:hAnsi="Aptos"/>
                <w:b w:val="0"/>
                <w:sz w:val="16"/>
              </w:rPr>
              <w:t>The current deployed portal's full feature set was not independently audited.</w:t>
            </w:r>
          </w:p>
        </w:tc>
        <w:tc>
          <w:tcPr>
            <w:tcW w:type="dxa" w:w="6120"/>
            <w:vAlign w:val="center"/>
          </w:tcPr>
          <w:p>
            <w:pPr>
              <w:spacing w:after="20"/>
            </w:pPr>
            <w:r/>
            <w:r>
              <w:rPr>
                <w:rFonts w:ascii="Aptos" w:hAnsi="Aptos"/>
                <w:b w:val="0"/>
                <w:sz w:val="16"/>
              </w:rPr>
              <w:t>Any claim about missing dashboards, alerts, audit logs, bank APIs or automated checks remains a hypothesis until verified.</w:t>
            </w:r>
          </w:p>
        </w:tc>
      </w:tr>
      <w:tr>
        <w:trPr>
          <w:cantSplit/>
        </w:trPr>
        <w:tc>
          <w:tcPr>
            <w:tcW w:type="dxa" w:w="3816"/>
            <w:vAlign w:val="center"/>
            <w:shd w:fill="F4F7FA"/>
          </w:tcPr>
          <w:p>
            <w:pPr>
              <w:spacing w:after="20"/>
            </w:pPr>
            <w:r/>
            <w:r>
              <w:rPr>
                <w:rFonts w:ascii="Aptos" w:hAnsi="Aptos"/>
                <w:b w:val="0"/>
                <w:sz w:val="16"/>
              </w:rPr>
              <w:t>No public AICTE-authorised FDR-specific dataset was identified in the reviewed sources.</w:t>
            </w:r>
          </w:p>
        </w:tc>
        <w:tc>
          <w:tcPr>
            <w:tcW w:type="dxa" w:w="6120"/>
            <w:vAlign w:val="center"/>
            <w:shd w:fill="F4F7FA"/>
          </w:tcPr>
          <w:p>
            <w:pPr>
              <w:spacing w:after="20"/>
            </w:pPr>
            <w:r/>
            <w:r>
              <w:rPr>
                <w:rFonts w:ascii="Aptos" w:hAnsi="Aptos"/>
                <w:b w:val="0"/>
                <w:sz w:val="16"/>
              </w:rPr>
              <w:t>Use clearly labelled synthetic FDR records for the prototype. Do not claim synthetic results prove real-world accuracy.</w:t>
            </w:r>
          </w:p>
        </w:tc>
      </w:tr>
      <w:tr>
        <w:trPr>
          <w:cantSplit/>
        </w:trPr>
        <w:tc>
          <w:tcPr>
            <w:tcW w:type="dxa" w:w="3816"/>
            <w:vAlign w:val="center"/>
          </w:tcPr>
          <w:p>
            <w:pPr>
              <w:spacing w:after="20"/>
            </w:pPr>
            <w:r/>
            <w:r>
              <w:rPr>
                <w:rFonts w:ascii="Aptos" w:hAnsi="Aptos"/>
                <w:b w:val="0"/>
                <w:sz w:val="16"/>
              </w:rPr>
              <w:t>DocTamper and FinCriticalED may inform component-level research but are not FDR-specific; access and licence terms need checking.</w:t>
            </w:r>
          </w:p>
        </w:tc>
        <w:tc>
          <w:tcPr>
            <w:tcW w:type="dxa" w:w="6120"/>
            <w:vAlign w:val="center"/>
          </w:tcPr>
          <w:p>
            <w:pPr>
              <w:spacing w:after="20"/>
            </w:pPr>
            <w:r/>
            <w:r>
              <w:rPr>
                <w:rFonts w:ascii="Aptos" w:hAnsi="Aptos"/>
                <w:b w:val="0"/>
                <w:sz w:val="16"/>
              </w:rPr>
              <w:t>Do not promise an AI tampering model or transfer benchmark accuracy to FDRs without lawful access and domain evaluation.</w:t>
            </w:r>
          </w:p>
        </w:tc>
      </w:tr>
      <w:tr>
        <w:trPr>
          <w:cantSplit/>
        </w:trPr>
        <w:tc>
          <w:tcPr>
            <w:tcW w:type="dxa" w:w="3816"/>
            <w:vAlign w:val="center"/>
            <w:shd w:fill="F4F7FA"/>
          </w:tcPr>
          <w:p>
            <w:pPr>
              <w:spacing w:after="20"/>
            </w:pPr>
            <w:r/>
            <w:r>
              <w:rPr>
                <w:rFonts w:ascii="Aptos" w:hAnsi="Aptos"/>
                <w:b w:val="0"/>
                <w:sz w:val="16"/>
              </w:rPr>
              <w:t>Bank API offerings do not prove that AICTE or the team has access to an eligible integration.</w:t>
            </w:r>
          </w:p>
        </w:tc>
        <w:tc>
          <w:tcPr>
            <w:tcW w:type="dxa" w:w="6120"/>
            <w:vAlign w:val="center"/>
            <w:shd w:fill="F4F7FA"/>
          </w:tcPr>
          <w:p>
            <w:pPr>
              <w:spacing w:after="20"/>
            </w:pPr>
            <w:r/>
            <w:r>
              <w:rPr>
                <w:rFonts w:ascii="Aptos" w:hAnsi="Aptos"/>
                <w:b w:val="0"/>
                <w:sz w:val="16"/>
              </w:rPr>
              <w:t>Provide an adapter interface and manual verification mode; label simulated results visibly.</w:t>
            </w:r>
          </w:p>
        </w:tc>
      </w:tr>
    </w:tbl>
    <w:p>
      <w:pPr>
        <w:spacing w:after="0"/>
      </w:pPr>
    </w:p>
    <w:p>
      <w:pPr>
        <w:pStyle w:val="Heading2"/>
      </w:pPr>
      <w:r>
        <w:t>2.3 Evidence-backed baseline vs. opportunity hypotheses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096"/>
            <w:vAlign w:val="center"/>
            <w:shd w:fill="16324F"/>
          </w:tcPr>
          <w:p>
            <w:pPr>
              <w:spacing w:after="20"/>
            </w:pPr>
            <w:r/>
            <w:r>
              <w:rPr>
                <w:rFonts w:ascii="Aptos" w:hAnsi="Aptos"/>
                <w:b/>
                <w:color w:val="FFFFFF"/>
                <w:sz w:val="15"/>
              </w:rPr>
              <w:t>Evidence-backed baseline</w:t>
            </w:r>
          </w:p>
        </w:tc>
        <w:tc>
          <w:tcPr>
            <w:tcW w:type="dxa" w:w="3816"/>
            <w:vAlign w:val="center"/>
            <w:shd w:fill="16324F"/>
          </w:tcPr>
          <w:p>
            <w:pPr>
              <w:spacing w:after="20"/>
            </w:pPr>
            <w:r/>
            <w:r>
              <w:rPr>
                <w:rFonts w:ascii="Aptos" w:hAnsi="Aptos"/>
                <w:b/>
                <w:color w:val="FFFFFF"/>
                <w:sz w:val="15"/>
              </w:rPr>
              <w:t>Potential contribution to prototype</w:t>
            </w:r>
          </w:p>
        </w:tc>
        <w:tc>
          <w:tcPr>
            <w:tcW w:type="dxa" w:w="3024"/>
            <w:vAlign w:val="center"/>
            <w:shd w:fill="16324F"/>
          </w:tcPr>
          <w:p>
            <w:pPr>
              <w:spacing w:after="20"/>
            </w:pPr>
            <w:r/>
            <w:r>
              <w:rPr>
                <w:rFonts w:ascii="Aptos" w:hAnsi="Aptos"/>
                <w:b/>
                <w:color w:val="FFFFFF"/>
                <w:sz w:val="15"/>
              </w:rPr>
              <w:t>Not claimed</w:t>
            </w:r>
          </w:p>
        </w:tc>
      </w:tr>
      <w:tr>
        <w:trPr>
          <w:cantSplit/>
        </w:trPr>
        <w:tc>
          <w:tcPr>
            <w:tcW w:type="dxa" w:w="3096"/>
            <w:vAlign w:val="center"/>
          </w:tcPr>
          <w:p>
            <w:pPr>
              <w:spacing w:after="20"/>
            </w:pPr>
            <w:r/>
            <w:r>
              <w:rPr>
                <w:rFonts w:ascii="Aptos" w:hAnsi="Aptos"/>
                <w:b w:val="0"/>
                <w:sz w:val="15"/>
              </w:rPr>
              <w:t>Published documentation describes an online matured-FD refund process and progress tracking.</w:t>
            </w:r>
          </w:p>
        </w:tc>
        <w:tc>
          <w:tcPr>
            <w:tcW w:type="dxa" w:w="3816"/>
            <w:vAlign w:val="center"/>
          </w:tcPr>
          <w:p>
            <w:pPr>
              <w:spacing w:after="20"/>
            </w:pPr>
            <w:r/>
            <w:r>
              <w:rPr>
                <w:rFonts w:ascii="Aptos" w:hAnsi="Aptos"/>
                <w:b w:val="0"/>
                <w:sz w:val="15"/>
              </w:rPr>
              <w:t>Instrument-level record linked to field checks, documents, maturity events and review decisions.</w:t>
            </w:r>
          </w:p>
        </w:tc>
        <w:tc>
          <w:tcPr>
            <w:tcW w:type="dxa" w:w="3024"/>
            <w:vAlign w:val="center"/>
          </w:tcPr>
          <w:p>
            <w:pPr>
              <w:spacing w:after="20"/>
            </w:pPr>
            <w:r/>
            <w:r>
              <w:rPr>
                <w:rFonts w:ascii="Aptos" w:hAnsi="Aptos"/>
                <w:b w:val="0"/>
                <w:sz w:val="15"/>
              </w:rPr>
              <w:t>That DepositGuard is the first FDR portal or replaces the existing AICTE portal.</w:t>
            </w:r>
          </w:p>
        </w:tc>
      </w:tr>
      <w:tr>
        <w:trPr>
          <w:cantSplit/>
        </w:trPr>
        <w:tc>
          <w:tcPr>
            <w:tcW w:type="dxa" w:w="3096"/>
            <w:vAlign w:val="center"/>
            <w:shd w:fill="F4F7FA"/>
          </w:tcPr>
          <w:p>
            <w:pPr>
              <w:spacing w:after="20"/>
            </w:pPr>
            <w:r/>
            <w:r>
              <w:rPr>
                <w:rFonts w:ascii="Aptos" w:hAnsi="Aptos"/>
                <w:b w:val="0"/>
                <w:sz w:val="15"/>
              </w:rPr>
              <w:t>The handbook specifies release documents and required clearances.</w:t>
            </w:r>
          </w:p>
        </w:tc>
        <w:tc>
          <w:tcPr>
            <w:tcW w:type="dxa" w:w="3816"/>
            <w:vAlign w:val="center"/>
            <w:shd w:fill="F4F7FA"/>
          </w:tcPr>
          <w:p>
            <w:pPr>
              <w:spacing w:after="20"/>
            </w:pPr>
            <w:r/>
            <w:r>
              <w:rPr>
                <w:rFonts w:ascii="Aptos" w:hAnsi="Aptos"/>
                <w:b w:val="0"/>
                <w:sz w:val="15"/>
              </w:rPr>
              <w:t>Configurable checklist, deficiency categories, workflow gates and audit evidence.</w:t>
            </w:r>
          </w:p>
        </w:tc>
        <w:tc>
          <w:tcPr>
            <w:tcW w:type="dxa" w:w="3024"/>
            <w:vAlign w:val="center"/>
            <w:shd w:fill="F4F7FA"/>
          </w:tcPr>
          <w:p>
            <w:pPr>
              <w:spacing w:after="20"/>
            </w:pPr>
            <w:r/>
            <w:r>
              <w:rPr>
                <w:rFonts w:ascii="Aptos" w:hAnsi="Aptos"/>
                <w:b w:val="0"/>
                <w:sz w:val="15"/>
              </w:rPr>
              <w:t>That the current portal lacks these controls.</w:t>
            </w:r>
          </w:p>
        </w:tc>
      </w:tr>
      <w:tr>
        <w:trPr>
          <w:cantSplit/>
        </w:trPr>
        <w:tc>
          <w:tcPr>
            <w:tcW w:type="dxa" w:w="3096"/>
            <w:vAlign w:val="center"/>
          </w:tcPr>
          <w:p>
            <w:pPr>
              <w:spacing w:after="20"/>
            </w:pPr>
            <w:r/>
            <w:r>
              <w:rPr>
                <w:rFonts w:ascii="Aptos" w:hAnsi="Aptos"/>
                <w:b w:val="0"/>
                <w:sz w:val="15"/>
              </w:rPr>
              <w:t>The survey did not identify a public AICTE-specific FDR dataset.</w:t>
            </w:r>
          </w:p>
        </w:tc>
        <w:tc>
          <w:tcPr>
            <w:tcW w:type="dxa" w:w="3816"/>
            <w:vAlign w:val="center"/>
          </w:tcPr>
          <w:p>
            <w:pPr>
              <w:spacing w:after="20"/>
            </w:pPr>
            <w:r/>
            <w:r>
              <w:rPr>
                <w:rFonts w:ascii="Aptos" w:hAnsi="Aptos"/>
                <w:b w:val="0"/>
                <w:sz w:val="15"/>
              </w:rPr>
              <w:t>Reproducible synthetic records and seeded test cases.</w:t>
            </w:r>
          </w:p>
        </w:tc>
        <w:tc>
          <w:tcPr>
            <w:tcW w:type="dxa" w:w="3024"/>
            <w:vAlign w:val="center"/>
          </w:tcPr>
          <w:p>
            <w:pPr>
              <w:spacing w:after="20"/>
            </w:pPr>
            <w:r/>
            <w:r>
              <w:rPr>
                <w:rFonts w:ascii="Aptos" w:hAnsi="Aptos"/>
                <w:b w:val="0"/>
                <w:sz w:val="15"/>
              </w:rPr>
              <w:t>That synthetic data validates real-world fraud detection.</w:t>
            </w:r>
          </w:p>
        </w:tc>
      </w:tr>
      <w:tr>
        <w:trPr>
          <w:cantSplit/>
        </w:trPr>
        <w:tc>
          <w:tcPr>
            <w:tcW w:type="dxa" w:w="3096"/>
            <w:vAlign w:val="center"/>
            <w:shd w:fill="F4F7FA"/>
          </w:tcPr>
          <w:p>
            <w:pPr>
              <w:spacing w:after="20"/>
            </w:pPr>
            <w:r/>
            <w:r>
              <w:rPr>
                <w:rFonts w:ascii="Aptos" w:hAnsi="Aptos"/>
                <w:b w:val="0"/>
                <w:sz w:val="15"/>
              </w:rPr>
              <w:t>Technical standards support hashing, secure upload practices and PDF-signature validation under appropriate conditions.</w:t>
            </w:r>
          </w:p>
        </w:tc>
        <w:tc>
          <w:tcPr>
            <w:tcW w:type="dxa" w:w="3816"/>
            <w:vAlign w:val="center"/>
            <w:shd w:fill="F4F7FA"/>
          </w:tcPr>
          <w:p>
            <w:pPr>
              <w:spacing w:after="20"/>
            </w:pPr>
            <w:r/>
            <w:r>
              <w:rPr>
                <w:rFonts w:ascii="Aptos" w:hAnsi="Aptos"/>
                <w:b w:val="0"/>
                <w:sz w:val="15"/>
              </w:rPr>
              <w:t>Separate, evidence-linked check results with explicit limitations.</w:t>
            </w:r>
          </w:p>
        </w:tc>
        <w:tc>
          <w:tcPr>
            <w:tcW w:type="dxa" w:w="3024"/>
            <w:vAlign w:val="center"/>
            <w:shd w:fill="F4F7FA"/>
          </w:tcPr>
          <w:p>
            <w:pPr>
              <w:spacing w:after="20"/>
            </w:pPr>
            <w:r/>
            <w:r>
              <w:rPr>
                <w:rFonts w:ascii="Aptos" w:hAnsi="Aptos"/>
                <w:b w:val="0"/>
                <w:sz w:val="15"/>
              </w:rPr>
              <w:t>That a hash or PDF signature alone proves the FDR exists or is genuine.</w:t>
            </w:r>
          </w:p>
        </w:tc>
      </w:tr>
    </w:tbl>
    <w:p>
      <w:pPr>
        <w:spacing w:after="0"/>
      </w:pPr>
    </w:p>
    <w:tbl>
      <w:tblPr>
        <w:tblStyle w:val="TableGrid"/>
        <w:tblW w:type="auto" w:w="0"/>
        <w:tblLook w:firstColumn="1" w:firstRow="1" w:lastColumn="0" w:lastRow="0" w:noHBand="0" w:noVBand="1" w:val="04A0"/>
      </w:tblPr>
      <w:tblGrid>
        <w:gridCol w:w="10166"/>
      </w:tblGrid>
      <w:tr>
        <w:trPr>
          <w:cantSplit/>
        </w:trPr>
        <w:tc>
          <w:tcPr>
            <w:tcW w:type="dxa" w:w="10166"/>
            <w:shd w:fill="FFF4D6"/>
          </w:tcPr>
          <w:p>
            <w:pPr>
              <w:spacing w:after="40"/>
            </w:pPr>
            <w:r/>
            <w:r>
              <w:rPr>
                <w:b/>
                <w:color w:val="16324F"/>
                <w:sz w:val="20"/>
              </w:rPr>
              <w:t>Research wording to preserve</w:t>
              <w:br/>
            </w:r>
            <w:r>
              <w:rPr>
                <w:sz w:val="18"/>
              </w:rPr>
              <w:t>The current portal's full capabilities remain to be confirmed. Use 'proposed complementary capability', 'prototype explores', or 'opportunity to evaluate' rather than 'AICTE currently lacks'.</w:t>
            </w:r>
          </w:p>
        </w:tc>
      </w:tr>
    </w:tbl>
    <w:p>
      <w:pPr>
        <w:spacing w:after="0"/>
      </w:pPr>
    </w:p>
    <w:p>
      <w:pPr>
        <w:pStyle w:val="Heading1"/>
      </w:pPr>
      <w:r>
        <w:t>3. Goals, scope and non-goals</w:t>
      </w:r>
    </w:p>
    <w:p>
      <w:pPr>
        <w:pStyle w:val="Heading2"/>
      </w:pPr>
      <w:r>
        <w:t>3.1 In-scope capabilities</w:t>
      </w:r>
    </w:p>
    <w:p>
      <w:pPr>
        <w:pStyle w:val="ListBullet"/>
        <w:spacing w:after="40"/>
      </w:pPr>
      <w:r>
        <w:t>Institution-wise and instrument-wise FDR records, metadata, document inventory and version history.</w:t>
      </w:r>
    </w:p>
    <w:p>
      <w:pPr>
        <w:pStyle w:val="ListBullet"/>
        <w:spacing w:after="40"/>
      </w:pPr>
      <w:r>
        <w:t>Secure upload, retrieval, controlled access and file-integrity hash per document version.</w:t>
      </w:r>
    </w:p>
    <w:p>
      <w:pPr>
        <w:pStyle w:val="ListBullet"/>
        <w:spacing w:after="40"/>
      </w:pPr>
      <w:r>
        <w:t>Field extraction where feasible, manual correction and configurable cross-document consistency checks.</w:t>
      </w:r>
    </w:p>
    <w:p>
      <w:pPr>
        <w:pStyle w:val="ListBullet"/>
        <w:spacing w:after="40"/>
      </w:pPr>
      <w:r>
        <w:t>Duplicate/anomaly flags that trigger review rather than assert fraud.</w:t>
      </w:r>
    </w:p>
    <w:p>
      <w:pPr>
        <w:pStyle w:val="ListBullet"/>
        <w:spacing w:after="40"/>
      </w:pPr>
      <w:r>
        <w:t>Optional PDF digital-signature validation where supported, with explicit result states.</w:t>
      </w:r>
    </w:p>
    <w:p>
      <w:pPr>
        <w:pStyle w:val="ListBullet"/>
        <w:spacing w:after="40"/>
      </w:pPr>
      <w:r>
        <w:t>Lifecycle monitoring: maturity, renewal/replacement, deadlines, pending tasks and escalation.</w:t>
      </w:r>
    </w:p>
    <w:p>
      <w:pPr>
        <w:pStyle w:val="ListBullet"/>
        <w:spacing w:after="40"/>
      </w:pPr>
      <w:r>
        <w:t>Deficiency requests and resubmission, release/refund requests, required-clearance gates and authorised decisions.</w:t>
      </w:r>
    </w:p>
    <w:p>
      <w:pPr>
        <w:pStyle w:val="ListBullet"/>
        <w:spacing w:after="40"/>
      </w:pPr>
      <w:r>
        <w:t>Dashboards, search, operational reports, audit history and downloadable verification dossier.</w:t>
      </w:r>
    </w:p>
    <w:p>
      <w:pPr>
        <w:pStyle w:val="ListBullet"/>
        <w:spacing w:after="40"/>
      </w:pPr>
      <w:r>
        <w:t>Multilingual interface, read-aloud and accessibility-friendly interaction.</w:t>
      </w:r>
    </w:p>
    <w:p>
      <w:pPr>
        <w:pStyle w:val="ListBullet"/>
        <w:spacing w:after="40"/>
      </w:pPr>
      <w:r>
        <w:t>Reproducible synthetic data and automated tests.</w:t>
      </w:r>
    </w:p>
    <w:p>
      <w:pPr>
        <w:pStyle w:val="Heading2"/>
      </w:pPr>
      <w:r>
        <w:t>3.2 Non-goals and limits</w:t>
      </w:r>
    </w:p>
    <w:p>
      <w:pPr>
        <w:pStyle w:val="ListBullet"/>
        <w:spacing w:after="40"/>
      </w:pPr>
      <w:r>
        <w:t>Not a claim to replace the AICTE portal or to reproduce undocumented internal AICTE systems.</w:t>
      </w:r>
    </w:p>
    <w:p>
      <w:pPr>
        <w:pStyle w:val="ListBullet"/>
        <w:spacing w:after="40"/>
      </w:pPr>
      <w:r>
        <w:t>Not an automatic legal or financial decision-maker; no automatic FDR release.</w:t>
      </w:r>
    </w:p>
    <w:p>
      <w:pPr>
        <w:pStyle w:val="ListBullet"/>
        <w:spacing w:after="40"/>
      </w:pPr>
      <w:r>
        <w:t>Not a claim that OCR, SHA-256, PDF signatures or anomaly flags prove authenticity or fraud.</w:t>
      </w:r>
    </w:p>
    <w:p>
      <w:pPr>
        <w:pStyle w:val="ListBullet"/>
        <w:spacing w:after="40"/>
      </w:pPr>
      <w:r>
        <w:t>No live bank or AICTE integration unless formal access, specifications and authorisation are available and tested.</w:t>
      </w:r>
    </w:p>
    <w:p>
      <w:pPr>
        <w:pStyle w:val="ListBullet"/>
        <w:spacing w:after="40"/>
      </w:pPr>
      <w:r>
        <w:t>No real institution, bank or personal data in the public demo without permission.</w:t>
      </w:r>
    </w:p>
    <w:p>
      <w:pPr>
        <w:pStyle w:val="ListBullet"/>
        <w:spacing w:after="40"/>
      </w:pPr>
      <w:r>
        <w:t>No production-grade compliance certification claim from a student prototype.</w:t>
      </w:r>
    </w:p>
    <w:p>
      <w:pPr>
        <w:pStyle w:val="ListBullet"/>
        <w:spacing w:after="40"/>
      </w:pPr>
      <w:r>
        <w:t>No advanced tampering model as a dependency for the MVP; this is a future research extension unless validated components and data are available.</w:t>
      </w:r>
    </w:p>
    <w:p>
      <w:pPr>
        <w:pStyle w:val="Heading1"/>
      </w:pPr>
      <w:r>
        <w:t>4. Complete feature specification</w:t>
      </w:r>
    </w:p>
    <w:p>
      <w:r>
        <w:t>The following list combines every functional category in the supplied problem statement with the agreed evidence, workflow, innovation and accessibility features. Priority indicates the recommended prototype order, not a claim of completed implementation.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232"/>
            <w:vAlign w:val="center"/>
            <w:shd w:fill="16324F"/>
          </w:tcPr>
          <w:p>
            <w:pPr>
              <w:spacing w:after="20"/>
            </w:pPr>
            <w:r/>
            <w:r>
              <w:rPr>
                <w:rFonts w:ascii="Aptos" w:hAnsi="Aptos"/>
                <w:b/>
                <w:color w:val="FFFFFF"/>
                <w:sz w:val="14"/>
              </w:rPr>
              <w:t>ID / feature</w:t>
            </w:r>
          </w:p>
        </w:tc>
        <w:tc>
          <w:tcPr>
            <w:tcW w:type="dxa" w:w="6696"/>
            <w:vAlign w:val="center"/>
            <w:shd w:fill="16324F"/>
          </w:tcPr>
          <w:p>
            <w:pPr>
              <w:spacing w:after="20"/>
            </w:pPr>
            <w:r/>
            <w:r>
              <w:rPr>
                <w:rFonts w:ascii="Aptos" w:hAnsi="Aptos"/>
                <w:b/>
                <w:color w:val="FFFFFF"/>
                <w:sz w:val="14"/>
              </w:rPr>
              <w:t>Functional specification</w:t>
            </w:r>
          </w:p>
        </w:tc>
        <w:tc>
          <w:tcPr>
            <w:tcW w:type="dxa" w:w="1008"/>
            <w:vAlign w:val="center"/>
            <w:shd w:fill="16324F"/>
          </w:tcPr>
          <w:p>
            <w:pPr>
              <w:spacing w:after="20"/>
            </w:pPr>
            <w:r/>
            <w:r>
              <w:rPr>
                <w:rFonts w:ascii="Aptos" w:hAnsi="Aptos"/>
                <w:b/>
                <w:color w:val="FFFFFF"/>
                <w:sz w:val="14"/>
              </w:rPr>
              <w:t>Priority</w:t>
            </w:r>
          </w:p>
        </w:tc>
      </w:tr>
      <w:tr>
        <w:trPr>
          <w:cantSplit/>
        </w:trPr>
        <w:tc>
          <w:tcPr>
            <w:tcW w:type="dxa" w:w="2232"/>
            <w:vAlign w:val="center"/>
          </w:tcPr>
          <w:p>
            <w:pPr>
              <w:spacing w:after="20"/>
            </w:pPr>
            <w:r/>
            <w:r>
              <w:rPr>
                <w:rFonts w:ascii="Aptos" w:hAnsi="Aptos"/>
                <w:b w:val="0"/>
                <w:sz w:val="14"/>
              </w:rPr>
              <w:t>F01 — Central FDR Registry</w:t>
            </w:r>
          </w:p>
        </w:tc>
        <w:tc>
          <w:tcPr>
            <w:tcW w:type="dxa" w:w="6696"/>
            <w:vAlign w:val="center"/>
          </w:tcPr>
          <w:p>
            <w:pPr>
              <w:spacing w:after="20"/>
            </w:pPr>
            <w:r/>
            <w:r>
              <w:rPr>
                <w:rFonts w:ascii="Aptos" w:hAnsi="Aptos"/>
                <w:b w:val="0"/>
                <w:sz w:val="14"/>
              </w:rPr>
              <w:t>Institution-wise and instrument-wise records; reference/instrument number; bank identifier/details as permitted; amount; issue date; maturity date; validity/lifecycle status; related application/request; assigned reviewer; document list; current workflow state.</w:t>
            </w:r>
          </w:p>
        </w:tc>
        <w:tc>
          <w:tcPr>
            <w:tcW w:type="dxa" w:w="1008"/>
            <w:vAlign w:val="center"/>
          </w:tcPr>
          <w:p>
            <w:pPr>
              <w:spacing w:after="20"/>
            </w:pPr>
            <w:r/>
            <w:r>
              <w:rPr>
                <w:rFonts w:ascii="Aptos" w:hAnsi="Aptos"/>
                <w:b w:val="0"/>
                <w:sz w:val="14"/>
              </w:rPr>
              <w:t>P0</w:t>
            </w:r>
          </w:p>
        </w:tc>
      </w:tr>
      <w:tr>
        <w:trPr>
          <w:cantSplit/>
        </w:trPr>
        <w:tc>
          <w:tcPr>
            <w:tcW w:type="dxa" w:w="2232"/>
            <w:vAlign w:val="center"/>
            <w:shd w:fill="F4F7FA"/>
          </w:tcPr>
          <w:p>
            <w:pPr>
              <w:spacing w:after="20"/>
            </w:pPr>
            <w:r/>
            <w:r>
              <w:rPr>
                <w:rFonts w:ascii="Aptos" w:hAnsi="Aptos"/>
                <w:b w:val="0"/>
                <w:sz w:val="14"/>
              </w:rPr>
              <w:t>F02 — Secure Document Management</w:t>
            </w:r>
          </w:p>
        </w:tc>
        <w:tc>
          <w:tcPr>
            <w:tcW w:type="dxa" w:w="6696"/>
            <w:vAlign w:val="center"/>
            <w:shd w:fill="F4F7FA"/>
          </w:tcPr>
          <w:p>
            <w:pPr>
              <w:spacing w:after="20"/>
            </w:pPr>
            <w:r/>
            <w:r>
              <w:rPr>
                <w:rFonts w:ascii="Aptos" w:hAnsi="Aptos"/>
                <w:b w:val="0"/>
                <w:sz w:val="14"/>
              </w:rPr>
              <w:t>Upload, retrieve and review FDR copy, request letter, affidavits, approval/EOA or other prescribed records as applicable to the configured policy; validate extension, MIME/content, size; generated storage names; private storage; version history.</w:t>
            </w:r>
          </w:p>
        </w:tc>
        <w:tc>
          <w:tcPr>
            <w:tcW w:type="dxa" w:w="1008"/>
            <w:vAlign w:val="center"/>
            <w:shd w:fill="F4F7FA"/>
          </w:tcPr>
          <w:p>
            <w:pPr>
              <w:spacing w:after="20"/>
            </w:pPr>
            <w:r/>
            <w:r>
              <w:rPr>
                <w:rFonts w:ascii="Aptos" w:hAnsi="Aptos"/>
                <w:b w:val="0"/>
                <w:sz w:val="14"/>
              </w:rPr>
              <w:t>P0</w:t>
            </w:r>
          </w:p>
        </w:tc>
      </w:tr>
      <w:tr>
        <w:trPr>
          <w:cantSplit/>
        </w:trPr>
        <w:tc>
          <w:tcPr>
            <w:tcW w:type="dxa" w:w="2232"/>
            <w:vAlign w:val="center"/>
          </w:tcPr>
          <w:p>
            <w:pPr>
              <w:spacing w:after="20"/>
            </w:pPr>
            <w:r/>
            <w:r>
              <w:rPr>
                <w:rFonts w:ascii="Aptos" w:hAnsi="Aptos"/>
                <w:b w:val="0"/>
                <w:sz w:val="14"/>
              </w:rPr>
              <w:t>F03 — Document Checklist &amp; Completeness</w:t>
            </w:r>
          </w:p>
        </w:tc>
        <w:tc>
          <w:tcPr>
            <w:tcW w:type="dxa" w:w="6696"/>
            <w:vAlign w:val="center"/>
          </w:tcPr>
          <w:p>
            <w:pPr>
              <w:spacing w:after="20"/>
            </w:pPr>
            <w:r/>
            <w:r>
              <w:rPr>
                <w:rFonts w:ascii="Aptos" w:hAnsi="Aptos"/>
                <w:b w:val="0"/>
                <w:sz w:val="14"/>
              </w:rPr>
              <w:t>Policy-driven list of required document types by workflow/context; show missing, supplied, rejected/needs-resubmission, accepted-for-review; configurable applicability and effective dates.</w:t>
            </w:r>
          </w:p>
        </w:tc>
        <w:tc>
          <w:tcPr>
            <w:tcW w:type="dxa" w:w="1008"/>
            <w:vAlign w:val="center"/>
          </w:tcPr>
          <w:p>
            <w:pPr>
              <w:spacing w:after="20"/>
            </w:pPr>
            <w:r/>
            <w:r>
              <w:rPr>
                <w:rFonts w:ascii="Aptos" w:hAnsi="Aptos"/>
                <w:b w:val="0"/>
                <w:sz w:val="14"/>
              </w:rPr>
              <w:t>P0</w:t>
            </w:r>
          </w:p>
        </w:tc>
      </w:tr>
      <w:tr>
        <w:trPr>
          <w:cantSplit/>
        </w:trPr>
        <w:tc>
          <w:tcPr>
            <w:tcW w:type="dxa" w:w="2232"/>
            <w:vAlign w:val="center"/>
            <w:shd w:fill="F4F7FA"/>
          </w:tcPr>
          <w:p>
            <w:pPr>
              <w:spacing w:after="20"/>
            </w:pPr>
            <w:r/>
            <w:r>
              <w:rPr>
                <w:rFonts w:ascii="Aptos" w:hAnsi="Aptos"/>
                <w:b w:val="0"/>
                <w:sz w:val="14"/>
              </w:rPr>
              <w:t>F04 — OCR/Field Extraction</w:t>
            </w:r>
          </w:p>
        </w:tc>
        <w:tc>
          <w:tcPr>
            <w:tcW w:type="dxa" w:w="6696"/>
            <w:vAlign w:val="center"/>
            <w:shd w:fill="F4F7FA"/>
          </w:tcPr>
          <w:p>
            <w:pPr>
              <w:spacing w:after="20"/>
            </w:pPr>
            <w:r/>
            <w:r>
              <w:rPr>
                <w:rFonts w:ascii="Aptos" w:hAnsi="Aptos"/>
                <w:b w:val="0"/>
                <w:sz w:val="14"/>
              </w:rPr>
              <w:t>Attempt to extract selected fields from supported scans/PDFs; retain extracted value, confidence, source document/page/region when available; permit manual entry/correction; preserve original and correction history. Low confidence must not silently pass.</w:t>
            </w:r>
          </w:p>
        </w:tc>
        <w:tc>
          <w:tcPr>
            <w:tcW w:type="dxa" w:w="1008"/>
            <w:vAlign w:val="center"/>
            <w:shd w:fill="F4F7FA"/>
          </w:tcPr>
          <w:p>
            <w:pPr>
              <w:spacing w:after="20"/>
            </w:pPr>
            <w:r/>
            <w:r>
              <w:rPr>
                <w:rFonts w:ascii="Aptos" w:hAnsi="Aptos"/>
                <w:b w:val="0"/>
                <w:sz w:val="14"/>
              </w:rPr>
              <w:t>P1</w:t>
            </w:r>
          </w:p>
        </w:tc>
      </w:tr>
      <w:tr>
        <w:trPr>
          <w:cantSplit/>
        </w:trPr>
        <w:tc>
          <w:tcPr>
            <w:tcW w:type="dxa" w:w="2232"/>
            <w:vAlign w:val="center"/>
          </w:tcPr>
          <w:p>
            <w:pPr>
              <w:spacing w:after="20"/>
            </w:pPr>
            <w:r/>
            <w:r>
              <w:rPr>
                <w:rFonts w:ascii="Aptos" w:hAnsi="Aptos"/>
                <w:b w:val="0"/>
                <w:sz w:val="14"/>
              </w:rPr>
              <w:t>F05 — Cross-Document Consistency Engine</w:t>
            </w:r>
          </w:p>
        </w:tc>
        <w:tc>
          <w:tcPr>
            <w:tcW w:type="dxa" w:w="6696"/>
            <w:vAlign w:val="center"/>
          </w:tcPr>
          <w:p>
            <w:pPr>
              <w:spacing w:after="20"/>
            </w:pPr>
            <w:r/>
            <w:r>
              <w:rPr>
                <w:rFonts w:ascii="Aptos" w:hAnsi="Aptos"/>
                <w:b w:val="0"/>
                <w:sz w:val="14"/>
              </w:rPr>
              <w:t>Compare submitted values with extracted values and related records; normalise formats; flag amount, identifier, bank field or date discrepancies; show evidence and rule version; allow authorised resolution with reason.</w:t>
            </w:r>
          </w:p>
        </w:tc>
        <w:tc>
          <w:tcPr>
            <w:tcW w:type="dxa" w:w="1008"/>
            <w:vAlign w:val="center"/>
          </w:tcPr>
          <w:p>
            <w:pPr>
              <w:spacing w:after="20"/>
            </w:pPr>
            <w:r/>
            <w:r>
              <w:rPr>
                <w:rFonts w:ascii="Aptos" w:hAnsi="Aptos"/>
                <w:b w:val="0"/>
                <w:sz w:val="14"/>
              </w:rPr>
              <w:t>P0 core; OCR P1</w:t>
            </w:r>
          </w:p>
        </w:tc>
      </w:tr>
      <w:tr>
        <w:trPr>
          <w:cantSplit/>
        </w:trPr>
        <w:tc>
          <w:tcPr>
            <w:tcW w:type="dxa" w:w="2232"/>
            <w:vAlign w:val="center"/>
            <w:shd w:fill="F4F7FA"/>
          </w:tcPr>
          <w:p>
            <w:pPr>
              <w:spacing w:after="20"/>
            </w:pPr>
            <w:r/>
            <w:r>
              <w:rPr>
                <w:rFonts w:ascii="Aptos" w:hAnsi="Aptos"/>
                <w:b w:val="0"/>
                <w:sz w:val="14"/>
              </w:rPr>
              <w:t>F06 — File Integrity &amp; Versioning</w:t>
            </w:r>
          </w:p>
        </w:tc>
        <w:tc>
          <w:tcPr>
            <w:tcW w:type="dxa" w:w="6696"/>
            <w:vAlign w:val="center"/>
            <w:shd w:fill="F4F7FA"/>
          </w:tcPr>
          <w:p>
            <w:pPr>
              <w:spacing w:after="20"/>
            </w:pPr>
            <w:r/>
            <w:r>
              <w:rPr>
                <w:rFonts w:ascii="Aptos" w:hAnsi="Aptos"/>
                <w:b w:val="0"/>
                <w:sz w:val="14"/>
              </w:rPr>
              <w:t>Calculate SHA-256 for each uploaded version; store hash, timestamp, actor and version; re-check stored file; flag hash mismatch; identify exact duplicate files. Explain that hash is relative integrity, not original authenticity.</w:t>
            </w:r>
          </w:p>
        </w:tc>
        <w:tc>
          <w:tcPr>
            <w:tcW w:type="dxa" w:w="1008"/>
            <w:vAlign w:val="center"/>
            <w:shd w:fill="F4F7FA"/>
          </w:tcPr>
          <w:p>
            <w:pPr>
              <w:spacing w:after="20"/>
            </w:pPr>
            <w:r/>
            <w:r>
              <w:rPr>
                <w:rFonts w:ascii="Aptos" w:hAnsi="Aptos"/>
                <w:b w:val="0"/>
                <w:sz w:val="14"/>
              </w:rPr>
              <w:t>P0</w:t>
            </w:r>
          </w:p>
        </w:tc>
      </w:tr>
      <w:tr>
        <w:trPr>
          <w:cantSplit/>
        </w:trPr>
        <w:tc>
          <w:tcPr>
            <w:tcW w:type="dxa" w:w="2232"/>
            <w:vAlign w:val="center"/>
          </w:tcPr>
          <w:p>
            <w:pPr>
              <w:spacing w:after="20"/>
            </w:pPr>
            <w:r/>
            <w:r>
              <w:rPr>
                <w:rFonts w:ascii="Aptos" w:hAnsi="Aptos"/>
                <w:b w:val="0"/>
                <w:sz w:val="14"/>
              </w:rPr>
              <w:t>F07 — PDF Signature Validation</w:t>
            </w:r>
          </w:p>
        </w:tc>
        <w:tc>
          <w:tcPr>
            <w:tcW w:type="dxa" w:w="6696"/>
            <w:vAlign w:val="center"/>
          </w:tcPr>
          <w:p>
            <w:pPr>
              <w:spacing w:after="20"/>
            </w:pPr>
            <w:r/>
            <w:r>
              <w:rPr>
                <w:rFonts w:ascii="Aptos" w:hAnsi="Aptos"/>
                <w:b w:val="0"/>
                <w:sz w:val="14"/>
              </w:rPr>
              <w:t>Where supported, detect and validate PDF digital signatures under a configured trust context; report valid-under-policy, cryptographic failure, not present, trust indeterminate, or not completed. Never infer bank-record existence.</w:t>
            </w:r>
          </w:p>
        </w:tc>
        <w:tc>
          <w:tcPr>
            <w:tcW w:type="dxa" w:w="1008"/>
            <w:vAlign w:val="center"/>
          </w:tcPr>
          <w:p>
            <w:pPr>
              <w:spacing w:after="20"/>
            </w:pPr>
            <w:r/>
            <w:r>
              <w:rPr>
                <w:rFonts w:ascii="Aptos" w:hAnsi="Aptos"/>
                <w:b w:val="0"/>
                <w:sz w:val="14"/>
              </w:rPr>
              <w:t>P2</w:t>
            </w:r>
          </w:p>
        </w:tc>
      </w:tr>
      <w:tr>
        <w:trPr>
          <w:cantSplit/>
        </w:trPr>
        <w:tc>
          <w:tcPr>
            <w:tcW w:type="dxa" w:w="2232"/>
            <w:vAlign w:val="center"/>
            <w:shd w:fill="F4F7FA"/>
          </w:tcPr>
          <w:p>
            <w:pPr>
              <w:spacing w:after="20"/>
            </w:pPr>
            <w:r/>
            <w:r>
              <w:rPr>
                <w:rFonts w:ascii="Aptos" w:hAnsi="Aptos"/>
                <w:b w:val="0"/>
                <w:sz w:val="14"/>
              </w:rPr>
              <w:t>F08 — Duplicate/Anomaly Flags</w:t>
            </w:r>
          </w:p>
        </w:tc>
        <w:tc>
          <w:tcPr>
            <w:tcW w:type="dxa" w:w="6696"/>
            <w:vAlign w:val="center"/>
            <w:shd w:fill="F4F7FA"/>
          </w:tcPr>
          <w:p>
            <w:pPr>
              <w:spacing w:after="20"/>
            </w:pPr>
            <w:r/>
            <w:r>
              <w:rPr>
                <w:rFonts w:ascii="Aptos" w:hAnsi="Aptos"/>
                <w:b w:val="0"/>
                <w:sz w:val="14"/>
              </w:rPr>
              <w:t>Flag duplicate instrument identifiers, exact file hashes and potential near-matches using normalised/configurable matching. Display why flagged and linked records. Flags are leads for review, not fraud findings.</w:t>
            </w:r>
          </w:p>
        </w:tc>
        <w:tc>
          <w:tcPr>
            <w:tcW w:type="dxa" w:w="1008"/>
            <w:vAlign w:val="center"/>
            <w:shd w:fill="F4F7FA"/>
          </w:tcPr>
          <w:p>
            <w:pPr>
              <w:spacing w:after="20"/>
            </w:pPr>
            <w:r/>
            <w:r>
              <w:rPr>
                <w:rFonts w:ascii="Aptos" w:hAnsi="Aptos"/>
                <w:b w:val="0"/>
                <w:sz w:val="14"/>
              </w:rPr>
              <w:t>P1</w:t>
            </w:r>
          </w:p>
        </w:tc>
      </w:tr>
      <w:tr>
        <w:trPr>
          <w:cantSplit/>
        </w:trPr>
        <w:tc>
          <w:tcPr>
            <w:tcW w:type="dxa" w:w="2232"/>
            <w:vAlign w:val="center"/>
          </w:tcPr>
          <w:p>
            <w:pPr>
              <w:spacing w:after="20"/>
            </w:pPr>
            <w:r/>
            <w:r>
              <w:rPr>
                <w:rFonts w:ascii="Aptos" w:hAnsi="Aptos"/>
                <w:b w:val="0"/>
                <w:sz w:val="14"/>
              </w:rPr>
              <w:t>F09 — Bank Verification Record</w:t>
            </w:r>
          </w:p>
        </w:tc>
        <w:tc>
          <w:tcPr>
            <w:tcW w:type="dxa" w:w="6696"/>
            <w:vAlign w:val="center"/>
          </w:tcPr>
          <w:p>
            <w:pPr>
              <w:spacing w:after="20"/>
            </w:pPr>
            <w:r/>
            <w:r>
              <w:rPr>
                <w:rFonts w:ascii="Aptos" w:hAnsi="Aptos"/>
                <w:b w:val="0"/>
                <w:sz w:val="14"/>
              </w:rPr>
              <w:t>Store verification method, source, request/reference, timestamp, response/evidence, actor and outcome. Modes: live authorised integration, documented manual verification, clearly labelled demo simulation, pending, unavailable or inconclusive.</w:t>
            </w:r>
          </w:p>
        </w:tc>
        <w:tc>
          <w:tcPr>
            <w:tcW w:type="dxa" w:w="1008"/>
            <w:vAlign w:val="center"/>
          </w:tcPr>
          <w:p>
            <w:pPr>
              <w:spacing w:after="20"/>
            </w:pPr>
            <w:r/>
            <w:r>
              <w:rPr>
                <w:rFonts w:ascii="Aptos" w:hAnsi="Aptos"/>
                <w:b w:val="0"/>
                <w:sz w:val="14"/>
              </w:rPr>
              <w:t>P0 interface/manual; live integration P2</w:t>
            </w:r>
          </w:p>
        </w:tc>
      </w:tr>
      <w:tr>
        <w:trPr>
          <w:cantSplit/>
        </w:trPr>
        <w:tc>
          <w:tcPr>
            <w:tcW w:type="dxa" w:w="2232"/>
            <w:vAlign w:val="center"/>
            <w:shd w:fill="F4F7FA"/>
          </w:tcPr>
          <w:p>
            <w:pPr>
              <w:spacing w:after="20"/>
            </w:pPr>
            <w:r/>
            <w:r>
              <w:rPr>
                <w:rFonts w:ascii="Aptos" w:hAnsi="Aptos"/>
                <w:b w:val="0"/>
                <w:sz w:val="14"/>
              </w:rPr>
              <w:t>F10 — Lifecycle, Maturity &amp; Validity</w:t>
            </w:r>
          </w:p>
        </w:tc>
        <w:tc>
          <w:tcPr>
            <w:tcW w:type="dxa" w:w="6696"/>
            <w:vAlign w:val="center"/>
            <w:shd w:fill="F4F7FA"/>
          </w:tcPr>
          <w:p>
            <w:pPr>
              <w:spacing w:after="20"/>
            </w:pPr>
            <w:r/>
            <w:r>
              <w:rPr>
                <w:rFonts w:ascii="Aptos" w:hAnsi="Aptos"/>
                <w:b w:val="0"/>
                <w:sz w:val="14"/>
              </w:rPr>
              <w:t>Calculate due/overdue states from configured dates/rules; monitor maturity, renewal/replacement and other deadlines; show upcoming, matured, renewed, released and pending instruments; maintain lifecycle events.</w:t>
            </w:r>
          </w:p>
        </w:tc>
        <w:tc>
          <w:tcPr>
            <w:tcW w:type="dxa" w:w="1008"/>
            <w:vAlign w:val="center"/>
            <w:shd w:fill="F4F7FA"/>
          </w:tcPr>
          <w:p>
            <w:pPr>
              <w:spacing w:after="20"/>
            </w:pPr>
            <w:r/>
            <w:r>
              <w:rPr>
                <w:rFonts w:ascii="Aptos" w:hAnsi="Aptos"/>
                <w:b w:val="0"/>
                <w:sz w:val="14"/>
              </w:rPr>
              <w:t>P0</w:t>
            </w:r>
          </w:p>
        </w:tc>
      </w:tr>
      <w:tr>
        <w:trPr>
          <w:cantSplit/>
        </w:trPr>
        <w:tc>
          <w:tcPr>
            <w:tcW w:type="dxa" w:w="2232"/>
            <w:vAlign w:val="center"/>
          </w:tcPr>
          <w:p>
            <w:pPr>
              <w:spacing w:after="20"/>
            </w:pPr>
            <w:r/>
            <w:r>
              <w:rPr>
                <w:rFonts w:ascii="Aptos" w:hAnsi="Aptos"/>
                <w:b w:val="0"/>
                <w:sz w:val="14"/>
              </w:rPr>
              <w:t>F11 — Renewal/Replacement Workflow</w:t>
            </w:r>
          </w:p>
        </w:tc>
        <w:tc>
          <w:tcPr>
            <w:tcW w:type="dxa" w:w="6696"/>
            <w:vAlign w:val="center"/>
          </w:tcPr>
          <w:p>
            <w:pPr>
              <w:spacing w:after="20"/>
            </w:pPr>
            <w:r/>
            <w:r>
              <w:rPr>
                <w:rFonts w:ascii="Aptos" w:hAnsi="Aptos"/>
                <w:b w:val="0"/>
                <w:sz w:val="14"/>
              </w:rPr>
              <w:t>Create linked replacement instrument; retain previous instrument, document versions and history; capture reason/date; re-run applicable checks; keep old/new relationships and unresolved tasks visible.</w:t>
            </w:r>
          </w:p>
        </w:tc>
        <w:tc>
          <w:tcPr>
            <w:tcW w:type="dxa" w:w="1008"/>
            <w:vAlign w:val="center"/>
          </w:tcPr>
          <w:p>
            <w:pPr>
              <w:spacing w:after="20"/>
            </w:pPr>
            <w:r/>
            <w:r>
              <w:rPr>
                <w:rFonts w:ascii="Aptos" w:hAnsi="Aptos"/>
                <w:b w:val="0"/>
                <w:sz w:val="14"/>
              </w:rPr>
              <w:t>P0</w:t>
            </w:r>
          </w:p>
        </w:tc>
      </w:tr>
      <w:tr>
        <w:trPr>
          <w:cantSplit/>
        </w:trPr>
        <w:tc>
          <w:tcPr>
            <w:tcW w:type="dxa" w:w="2232"/>
            <w:vAlign w:val="center"/>
            <w:shd w:fill="F4F7FA"/>
          </w:tcPr>
          <w:p>
            <w:pPr>
              <w:spacing w:after="20"/>
            </w:pPr>
            <w:r/>
            <w:r>
              <w:rPr>
                <w:rFonts w:ascii="Aptos" w:hAnsi="Aptos"/>
                <w:b w:val="0"/>
                <w:sz w:val="14"/>
              </w:rPr>
              <w:t>F12 — Deficiency Resolution</w:t>
            </w:r>
          </w:p>
        </w:tc>
        <w:tc>
          <w:tcPr>
            <w:tcW w:type="dxa" w:w="6696"/>
            <w:vAlign w:val="center"/>
            <w:shd w:fill="F4F7FA"/>
          </w:tcPr>
          <w:p>
            <w:pPr>
              <w:spacing w:after="20"/>
            </w:pPr>
            <w:r/>
            <w:r>
              <w:rPr>
                <w:rFonts w:ascii="Aptos" w:hAnsi="Aptos"/>
                <w:b w:val="0"/>
                <w:sz w:val="14"/>
              </w:rPr>
              <w:t>Officer records deficiency category, plain-language explanation, evidence reference, requested action and due date; institution responds/resubmits; officer reviews response; preserve all rounds and reasons.</w:t>
            </w:r>
          </w:p>
        </w:tc>
        <w:tc>
          <w:tcPr>
            <w:tcW w:type="dxa" w:w="1008"/>
            <w:vAlign w:val="center"/>
            <w:shd w:fill="F4F7FA"/>
          </w:tcPr>
          <w:p>
            <w:pPr>
              <w:spacing w:after="20"/>
            </w:pPr>
            <w:r/>
            <w:r>
              <w:rPr>
                <w:rFonts w:ascii="Aptos" w:hAnsi="Aptos"/>
                <w:b w:val="0"/>
                <w:sz w:val="14"/>
              </w:rPr>
              <w:t>P0</w:t>
            </w:r>
          </w:p>
        </w:tc>
      </w:tr>
      <w:tr>
        <w:trPr>
          <w:cantSplit/>
        </w:trPr>
        <w:tc>
          <w:tcPr>
            <w:tcW w:type="dxa" w:w="2232"/>
            <w:vAlign w:val="center"/>
          </w:tcPr>
          <w:p>
            <w:pPr>
              <w:spacing w:after="20"/>
            </w:pPr>
            <w:r/>
            <w:r>
              <w:rPr>
                <w:rFonts w:ascii="Aptos" w:hAnsi="Aptos"/>
                <w:b w:val="0"/>
                <w:sz w:val="14"/>
              </w:rPr>
              <w:t>F13 — Release/Refund Workflow</w:t>
            </w:r>
          </w:p>
        </w:tc>
        <w:tc>
          <w:tcPr>
            <w:tcW w:type="dxa" w:w="6696"/>
            <w:vAlign w:val="center"/>
          </w:tcPr>
          <w:p>
            <w:pPr>
              <w:spacing w:after="20"/>
            </w:pPr>
            <w:r/>
            <w:r>
              <w:rPr>
                <w:rFonts w:ascii="Aptos" w:hAnsi="Aptos"/>
                <w:b w:val="0"/>
                <w:sz w:val="14"/>
              </w:rPr>
              <w:t>Submit request; attach configured required documents; track required clearances; block transitions while mandatory requirements are unmet; record authorised decision, reason and evidence; maintain request and decision history. No automatic release.</w:t>
            </w:r>
          </w:p>
        </w:tc>
        <w:tc>
          <w:tcPr>
            <w:tcW w:type="dxa" w:w="1008"/>
            <w:vAlign w:val="center"/>
          </w:tcPr>
          <w:p>
            <w:pPr>
              <w:spacing w:after="20"/>
            </w:pPr>
            <w:r/>
            <w:r>
              <w:rPr>
                <w:rFonts w:ascii="Aptos" w:hAnsi="Aptos"/>
                <w:b w:val="0"/>
                <w:sz w:val="14"/>
              </w:rPr>
              <w:t>P0</w:t>
            </w:r>
          </w:p>
        </w:tc>
      </w:tr>
      <w:tr>
        <w:trPr>
          <w:cantSplit/>
        </w:trPr>
        <w:tc>
          <w:tcPr>
            <w:tcW w:type="dxa" w:w="2232"/>
            <w:vAlign w:val="center"/>
            <w:shd w:fill="F4F7FA"/>
          </w:tcPr>
          <w:p>
            <w:pPr>
              <w:spacing w:after="20"/>
            </w:pPr>
            <w:r/>
            <w:r>
              <w:rPr>
                <w:rFonts w:ascii="Aptos" w:hAnsi="Aptos"/>
                <w:b w:val="0"/>
                <w:sz w:val="14"/>
              </w:rPr>
              <w:t>F14 — Reminders &amp; Escalation</w:t>
            </w:r>
          </w:p>
        </w:tc>
        <w:tc>
          <w:tcPr>
            <w:tcW w:type="dxa" w:w="6696"/>
            <w:vAlign w:val="center"/>
            <w:shd w:fill="F4F7FA"/>
          </w:tcPr>
          <w:p>
            <w:pPr>
              <w:spacing w:after="20"/>
            </w:pPr>
            <w:r/>
            <w:r>
              <w:rPr>
                <w:rFonts w:ascii="Aptos" w:hAnsi="Aptos"/>
                <w:b w:val="0"/>
                <w:sz w:val="14"/>
              </w:rPr>
              <w:t>Configurable advance reminders for maturity, response deadlines, pending verification and overdue tasks; scheduled processing; role/recipient rules; escalation history; retry/error logs. Dashboard-only warnings do not count as notifications.</w:t>
            </w:r>
          </w:p>
        </w:tc>
        <w:tc>
          <w:tcPr>
            <w:tcW w:type="dxa" w:w="1008"/>
            <w:vAlign w:val="center"/>
            <w:shd w:fill="F4F7FA"/>
          </w:tcPr>
          <w:p>
            <w:pPr>
              <w:spacing w:after="20"/>
            </w:pPr>
            <w:r/>
            <w:r>
              <w:rPr>
                <w:rFonts w:ascii="Aptos" w:hAnsi="Aptos"/>
                <w:b w:val="0"/>
                <w:sz w:val="14"/>
              </w:rPr>
              <w:t>P1, prioritise</w:t>
            </w:r>
          </w:p>
        </w:tc>
      </w:tr>
      <w:tr>
        <w:trPr>
          <w:cantSplit/>
        </w:trPr>
        <w:tc>
          <w:tcPr>
            <w:tcW w:type="dxa" w:w="2232"/>
            <w:vAlign w:val="center"/>
          </w:tcPr>
          <w:p>
            <w:pPr>
              <w:spacing w:after="20"/>
            </w:pPr>
            <w:r/>
            <w:r>
              <w:rPr>
                <w:rFonts w:ascii="Aptos" w:hAnsi="Aptos"/>
                <w:b w:val="0"/>
                <w:sz w:val="14"/>
              </w:rPr>
              <w:t>F15 — Dashboard &amp; Search</w:t>
            </w:r>
          </w:p>
        </w:tc>
        <w:tc>
          <w:tcPr>
            <w:tcW w:type="dxa" w:w="6696"/>
            <w:vAlign w:val="center"/>
          </w:tcPr>
          <w:p>
            <w:pPr>
              <w:spacing w:after="20"/>
            </w:pPr>
            <w:r/>
            <w:r>
              <w:rPr>
                <w:rFonts w:ascii="Aptos" w:hAnsi="Aptos"/>
                <w:b w:val="0"/>
                <w:sz w:val="14"/>
              </w:rPr>
              <w:t>Database-backed counts and lists for active, expiring, matured, renewed, released, pending, deficient and overdue cases; filters/search; review queue; upcoming deadline panel; no hardcoded KPI counts.</w:t>
            </w:r>
          </w:p>
        </w:tc>
        <w:tc>
          <w:tcPr>
            <w:tcW w:type="dxa" w:w="1008"/>
            <w:vAlign w:val="center"/>
          </w:tcPr>
          <w:p>
            <w:pPr>
              <w:spacing w:after="20"/>
            </w:pPr>
            <w:r/>
            <w:r>
              <w:rPr>
                <w:rFonts w:ascii="Aptos" w:hAnsi="Aptos"/>
                <w:b w:val="0"/>
                <w:sz w:val="14"/>
              </w:rPr>
              <w:t>P0</w:t>
            </w:r>
          </w:p>
        </w:tc>
      </w:tr>
      <w:tr>
        <w:trPr>
          <w:cantSplit/>
        </w:trPr>
        <w:tc>
          <w:tcPr>
            <w:tcW w:type="dxa" w:w="2232"/>
            <w:vAlign w:val="center"/>
            <w:shd w:fill="F4F7FA"/>
          </w:tcPr>
          <w:p>
            <w:pPr>
              <w:spacing w:after="20"/>
            </w:pPr>
            <w:r/>
            <w:r>
              <w:rPr>
                <w:rFonts w:ascii="Aptos" w:hAnsi="Aptos"/>
                <w:b w:val="0"/>
                <w:sz w:val="14"/>
              </w:rPr>
              <w:t>F16 — Management Reports</w:t>
            </w:r>
          </w:p>
        </w:tc>
        <w:tc>
          <w:tcPr>
            <w:tcW w:type="dxa" w:w="6696"/>
            <w:vAlign w:val="center"/>
            <w:shd w:fill="F4F7FA"/>
          </w:tcPr>
          <w:p>
            <w:pPr>
              <w:spacing w:after="20"/>
            </w:pPr>
            <w:r/>
            <w:r>
              <w:rPr>
                <w:rFonts w:ascii="Aptos" w:hAnsi="Aptos"/>
                <w:b w:val="0"/>
                <w:sz w:val="14"/>
              </w:rPr>
              <w:t>Generate report/export for pending verification, maturity window, missing documents, overdue cases, renewals/replacements and release requests; filters and generation timestamp; only authorised data visible.</w:t>
            </w:r>
          </w:p>
        </w:tc>
        <w:tc>
          <w:tcPr>
            <w:tcW w:type="dxa" w:w="1008"/>
            <w:vAlign w:val="center"/>
            <w:shd w:fill="F4F7FA"/>
          </w:tcPr>
          <w:p>
            <w:pPr>
              <w:spacing w:after="20"/>
            </w:pPr>
            <w:r/>
            <w:r>
              <w:rPr>
                <w:rFonts w:ascii="Aptos" w:hAnsi="Aptos"/>
                <w:b w:val="0"/>
                <w:sz w:val="14"/>
              </w:rPr>
              <w:t>P1</w:t>
            </w:r>
          </w:p>
        </w:tc>
      </w:tr>
      <w:tr>
        <w:trPr>
          <w:cantSplit/>
        </w:trPr>
        <w:tc>
          <w:tcPr>
            <w:tcW w:type="dxa" w:w="2232"/>
            <w:vAlign w:val="center"/>
          </w:tcPr>
          <w:p>
            <w:pPr>
              <w:spacing w:after="20"/>
            </w:pPr>
            <w:r/>
            <w:r>
              <w:rPr>
                <w:rFonts w:ascii="Aptos" w:hAnsi="Aptos"/>
                <w:b w:val="0"/>
                <w:sz w:val="14"/>
              </w:rPr>
              <w:t>F17 — Role-Based Access &amp; Separation of Duties</w:t>
            </w:r>
          </w:p>
        </w:tc>
        <w:tc>
          <w:tcPr>
            <w:tcW w:type="dxa" w:w="6696"/>
            <w:vAlign w:val="center"/>
          </w:tcPr>
          <w:p>
            <w:pPr>
              <w:spacing w:after="20"/>
            </w:pPr>
            <w:r/>
            <w:r>
              <w:rPr>
                <w:rFonts w:ascii="Aptos" w:hAnsi="Aptos"/>
                <w:b w:val="0"/>
                <w:sz w:val="14"/>
              </w:rPr>
              <w:t>Institution user, review officer, authorised approver, administrator and optional read-only demo role; institution tenant isolation; backend permission checks; prohibit self-approval where required; protect file-download endpoints.</w:t>
            </w:r>
          </w:p>
        </w:tc>
        <w:tc>
          <w:tcPr>
            <w:tcW w:type="dxa" w:w="1008"/>
            <w:vAlign w:val="center"/>
          </w:tcPr>
          <w:p>
            <w:pPr>
              <w:spacing w:after="20"/>
            </w:pPr>
            <w:r/>
            <w:r>
              <w:rPr>
                <w:rFonts w:ascii="Aptos" w:hAnsi="Aptos"/>
                <w:b w:val="0"/>
                <w:sz w:val="14"/>
              </w:rPr>
              <w:t>P0</w:t>
            </w:r>
          </w:p>
        </w:tc>
      </w:tr>
      <w:tr>
        <w:trPr>
          <w:cantSplit/>
        </w:trPr>
        <w:tc>
          <w:tcPr>
            <w:tcW w:type="dxa" w:w="2232"/>
            <w:vAlign w:val="center"/>
            <w:shd w:fill="F4F7FA"/>
          </w:tcPr>
          <w:p>
            <w:pPr>
              <w:spacing w:after="20"/>
            </w:pPr>
            <w:r/>
            <w:r>
              <w:rPr>
                <w:rFonts w:ascii="Aptos" w:hAnsi="Aptos"/>
                <w:b w:val="0"/>
                <w:sz w:val="14"/>
              </w:rPr>
              <w:t>F18 — Audit Trail</w:t>
            </w:r>
          </w:p>
        </w:tc>
        <w:tc>
          <w:tcPr>
            <w:tcW w:type="dxa" w:w="6696"/>
            <w:vAlign w:val="center"/>
            <w:shd w:fill="F4F7FA"/>
          </w:tcPr>
          <w:p>
            <w:pPr>
              <w:spacing w:after="20"/>
            </w:pPr>
            <w:r/>
            <w:r>
              <w:rPr>
                <w:rFonts w:ascii="Aptos" w:hAnsi="Aptos"/>
                <w:b w:val="0"/>
                <w:sz w:val="14"/>
              </w:rPr>
              <w:t>Record submission, file upload/replacement, check execution, rule version, reviewer correction, deficiency, status transition, configuration change and decision; actor, timestamp, old/new state and reason; protect audit access and avoid secrets in logs.</w:t>
            </w:r>
          </w:p>
        </w:tc>
        <w:tc>
          <w:tcPr>
            <w:tcW w:type="dxa" w:w="1008"/>
            <w:vAlign w:val="center"/>
            <w:shd w:fill="F4F7FA"/>
          </w:tcPr>
          <w:p>
            <w:pPr>
              <w:spacing w:after="20"/>
            </w:pPr>
            <w:r/>
            <w:r>
              <w:rPr>
                <w:rFonts w:ascii="Aptos" w:hAnsi="Aptos"/>
                <w:b w:val="0"/>
                <w:sz w:val="14"/>
              </w:rPr>
              <w:t>P0</w:t>
            </w:r>
          </w:p>
        </w:tc>
      </w:tr>
      <w:tr>
        <w:trPr>
          <w:cantSplit/>
        </w:trPr>
        <w:tc>
          <w:tcPr>
            <w:tcW w:type="dxa" w:w="2232"/>
            <w:vAlign w:val="center"/>
          </w:tcPr>
          <w:p>
            <w:pPr>
              <w:spacing w:after="20"/>
            </w:pPr>
            <w:r/>
            <w:r>
              <w:rPr>
                <w:rFonts w:ascii="Aptos" w:hAnsi="Aptos"/>
                <w:b w:val="0"/>
                <w:sz w:val="14"/>
              </w:rPr>
              <w:t>F19 — Verification Dossier</w:t>
            </w:r>
          </w:p>
        </w:tc>
        <w:tc>
          <w:tcPr>
            <w:tcW w:type="dxa" w:w="6696"/>
            <w:vAlign w:val="center"/>
          </w:tcPr>
          <w:p>
            <w:pPr>
              <w:spacing w:after="20"/>
            </w:pPr>
            <w:r/>
            <w:r>
              <w:rPr>
                <w:rFonts w:ascii="Aptos" w:hAnsi="Aptos"/>
                <w:b w:val="0"/>
                <w:sz w:val="14"/>
              </w:rPr>
              <w:t>Downloadable report summarising instrument, documents/versions, checks actually run, evidence references, findings, bank verification mode/outcome, limitations, open items, rule/software version, review actions and final human decision.</w:t>
            </w:r>
          </w:p>
        </w:tc>
        <w:tc>
          <w:tcPr>
            <w:tcW w:type="dxa" w:w="1008"/>
            <w:vAlign w:val="center"/>
          </w:tcPr>
          <w:p>
            <w:pPr>
              <w:spacing w:after="20"/>
            </w:pPr>
            <w:r/>
            <w:r>
              <w:rPr>
                <w:rFonts w:ascii="Aptos" w:hAnsi="Aptos"/>
                <w:b w:val="0"/>
                <w:sz w:val="14"/>
              </w:rPr>
              <w:t>P1</w:t>
            </w:r>
          </w:p>
        </w:tc>
      </w:tr>
      <w:tr>
        <w:trPr>
          <w:cantSplit/>
        </w:trPr>
        <w:tc>
          <w:tcPr>
            <w:tcW w:type="dxa" w:w="2232"/>
            <w:vAlign w:val="center"/>
            <w:shd w:fill="F4F7FA"/>
          </w:tcPr>
          <w:p>
            <w:pPr>
              <w:spacing w:after="20"/>
            </w:pPr>
            <w:r/>
            <w:r>
              <w:rPr>
                <w:rFonts w:ascii="Aptos" w:hAnsi="Aptos"/>
                <w:b w:val="0"/>
                <w:sz w:val="14"/>
              </w:rPr>
              <w:t>F20 — Configurable Policy/Workflow Engine</w:t>
            </w:r>
          </w:p>
        </w:tc>
        <w:tc>
          <w:tcPr>
            <w:tcW w:type="dxa" w:w="6696"/>
            <w:vAlign w:val="center"/>
            <w:shd w:fill="F4F7FA"/>
          </w:tcPr>
          <w:p>
            <w:pPr>
              <w:spacing w:after="20"/>
            </w:pPr>
            <w:r/>
            <w:r>
              <w:rPr>
                <w:rFonts w:ascii="Aptos" w:hAnsi="Aptos"/>
                <w:b w:val="0"/>
                <w:sz w:val="14"/>
              </w:rPr>
              <w:t>Versioned document requirements, validation rules, thresholds, statuses, workflow transitions, role permissions, reminders, escalation, institution-specific settings and OCR field mappings; source reference, effective date, validation, change audit and tests.</w:t>
            </w:r>
          </w:p>
        </w:tc>
        <w:tc>
          <w:tcPr>
            <w:tcW w:type="dxa" w:w="1008"/>
            <w:vAlign w:val="center"/>
            <w:shd w:fill="F4F7FA"/>
          </w:tcPr>
          <w:p>
            <w:pPr>
              <w:spacing w:after="20"/>
            </w:pPr>
            <w:r/>
            <w:r>
              <w:rPr>
                <w:rFonts w:ascii="Aptos" w:hAnsi="Aptos"/>
                <w:b w:val="0"/>
                <w:sz w:val="14"/>
              </w:rPr>
              <w:t>P0 design rule</w:t>
            </w:r>
          </w:p>
        </w:tc>
      </w:tr>
      <w:tr>
        <w:trPr>
          <w:cantSplit/>
        </w:trPr>
        <w:tc>
          <w:tcPr>
            <w:tcW w:type="dxa" w:w="2232"/>
            <w:vAlign w:val="center"/>
          </w:tcPr>
          <w:p>
            <w:pPr>
              <w:spacing w:after="20"/>
            </w:pPr>
            <w:r/>
            <w:r>
              <w:rPr>
                <w:rFonts w:ascii="Aptos" w:hAnsi="Aptos"/>
                <w:b w:val="0"/>
                <w:sz w:val="14"/>
              </w:rPr>
              <w:t>F21 — Multilingual UI</w:t>
            </w:r>
          </w:p>
        </w:tc>
        <w:tc>
          <w:tcPr>
            <w:tcW w:type="dxa" w:w="6696"/>
            <w:vAlign w:val="center"/>
          </w:tcPr>
          <w:p>
            <w:pPr>
              <w:spacing w:after="20"/>
            </w:pPr>
            <w:r/>
            <w:r>
              <w:rPr>
                <w:rFonts w:ascii="Aptos" w:hAnsi="Aptos"/>
                <w:b w:val="0"/>
                <w:sz w:val="14"/>
              </w:rPr>
              <w:t>English default; initial target languages Hindi and Marathi (Tamil may be added if time allows); externalised translation files; translate navigation, labels, guidance, errors, status explanations and notifications; preserve work when switching languages.</w:t>
            </w:r>
          </w:p>
        </w:tc>
        <w:tc>
          <w:tcPr>
            <w:tcW w:type="dxa" w:w="1008"/>
            <w:vAlign w:val="center"/>
          </w:tcPr>
          <w:p>
            <w:pPr>
              <w:spacing w:after="20"/>
            </w:pPr>
            <w:r/>
            <w:r>
              <w:rPr>
                <w:rFonts w:ascii="Aptos" w:hAnsi="Aptos"/>
                <w:b w:val="0"/>
                <w:sz w:val="14"/>
              </w:rPr>
              <w:t>P1</w:t>
            </w:r>
          </w:p>
        </w:tc>
      </w:tr>
      <w:tr>
        <w:trPr>
          <w:cantSplit/>
        </w:trPr>
        <w:tc>
          <w:tcPr>
            <w:tcW w:type="dxa" w:w="2232"/>
            <w:vAlign w:val="center"/>
            <w:shd w:fill="F4F7FA"/>
          </w:tcPr>
          <w:p>
            <w:pPr>
              <w:spacing w:after="20"/>
            </w:pPr>
            <w:r/>
            <w:r>
              <w:rPr>
                <w:rFonts w:ascii="Aptos" w:hAnsi="Aptos"/>
                <w:b w:val="0"/>
                <w:sz w:val="14"/>
              </w:rPr>
              <w:t>F22 — Read Aloud</w:t>
            </w:r>
          </w:p>
        </w:tc>
        <w:tc>
          <w:tcPr>
            <w:tcW w:type="dxa" w:w="6696"/>
            <w:vAlign w:val="center"/>
            <w:shd w:fill="F4F7FA"/>
          </w:tcPr>
          <w:p>
            <w:pPr>
              <w:spacing w:after="20"/>
            </w:pPr>
            <w:r/>
            <w:r>
              <w:rPr>
                <w:rFonts w:ascii="Aptos" w:hAnsi="Aptos"/>
                <w:b w:val="0"/>
                <w:sz w:val="14"/>
              </w:rPr>
              <w:t>Browser text-to-speech for selected instructions and verification explanations; play/pause/stop; use available voices; do not speak sensitive details automatically; graceful fallback where a voice/language is unavailable.</w:t>
            </w:r>
          </w:p>
        </w:tc>
        <w:tc>
          <w:tcPr>
            <w:tcW w:type="dxa" w:w="1008"/>
            <w:vAlign w:val="center"/>
            <w:shd w:fill="F4F7FA"/>
          </w:tcPr>
          <w:p>
            <w:pPr>
              <w:spacing w:after="20"/>
            </w:pPr>
            <w:r/>
            <w:r>
              <w:rPr>
                <w:rFonts w:ascii="Aptos" w:hAnsi="Aptos"/>
                <w:b w:val="0"/>
                <w:sz w:val="14"/>
              </w:rPr>
              <w:t>P1</w:t>
            </w:r>
          </w:p>
        </w:tc>
      </w:tr>
      <w:tr>
        <w:trPr>
          <w:cantSplit/>
        </w:trPr>
        <w:tc>
          <w:tcPr>
            <w:tcW w:type="dxa" w:w="2232"/>
            <w:vAlign w:val="center"/>
          </w:tcPr>
          <w:p>
            <w:pPr>
              <w:spacing w:after="20"/>
            </w:pPr>
            <w:r/>
            <w:r>
              <w:rPr>
                <w:rFonts w:ascii="Aptos" w:hAnsi="Aptos"/>
                <w:b w:val="0"/>
                <w:sz w:val="14"/>
              </w:rPr>
              <w:t>F23 — Accessibility &amp; Guided Use</w:t>
            </w:r>
          </w:p>
        </w:tc>
        <w:tc>
          <w:tcPr>
            <w:tcW w:type="dxa" w:w="6696"/>
            <w:vAlign w:val="center"/>
          </w:tcPr>
          <w:p>
            <w:pPr>
              <w:spacing w:after="20"/>
            </w:pPr>
            <w:r/>
            <w:r>
              <w:rPr>
                <w:rFonts w:ascii="Aptos" w:hAnsi="Aptos"/>
                <w:b w:val="0"/>
                <w:sz w:val="14"/>
              </w:rPr>
              <w:t>Keyboard navigation, visible focus, semantic labels, screen-reader support, scalable text, sufficient contrast, status text not colour alone, clear validation messages, responsive layout, guided submission and plain-language tooltips; target WCAG 2.2 AA practices and test.</w:t>
            </w:r>
          </w:p>
        </w:tc>
        <w:tc>
          <w:tcPr>
            <w:tcW w:type="dxa" w:w="1008"/>
            <w:vAlign w:val="center"/>
          </w:tcPr>
          <w:p>
            <w:pPr>
              <w:spacing w:after="20"/>
            </w:pPr>
            <w:r/>
            <w:r>
              <w:rPr>
                <w:rFonts w:ascii="Aptos" w:hAnsi="Aptos"/>
                <w:b w:val="0"/>
                <w:sz w:val="14"/>
              </w:rPr>
              <w:t>P1</w:t>
            </w:r>
          </w:p>
        </w:tc>
      </w:tr>
      <w:tr>
        <w:trPr>
          <w:cantSplit/>
        </w:trPr>
        <w:tc>
          <w:tcPr>
            <w:tcW w:type="dxa" w:w="2232"/>
            <w:vAlign w:val="center"/>
            <w:shd w:fill="F4F7FA"/>
          </w:tcPr>
          <w:p>
            <w:pPr>
              <w:spacing w:after="20"/>
            </w:pPr>
            <w:r/>
            <w:r>
              <w:rPr>
                <w:rFonts w:ascii="Aptos" w:hAnsi="Aptos"/>
                <w:b w:val="0"/>
                <w:sz w:val="14"/>
              </w:rPr>
              <w:t>F24 — Operational Metrics</w:t>
            </w:r>
          </w:p>
        </w:tc>
        <w:tc>
          <w:tcPr>
            <w:tcW w:type="dxa" w:w="6696"/>
            <w:vAlign w:val="center"/>
            <w:shd w:fill="F4F7FA"/>
          </w:tcPr>
          <w:p>
            <w:pPr>
              <w:spacing w:after="20"/>
            </w:pPr>
            <w:r/>
            <w:r>
              <w:rPr>
                <w:rFonts w:ascii="Aptos" w:hAnsi="Aptos"/>
                <w:b w:val="0"/>
                <w:sz w:val="14"/>
              </w:rPr>
              <w:t>Measure accuracy against known synthetic ground truth, planted discrepancy detection, workflow elapsed time, reminder correctness, manual steps for defined tasks, pending-case visibility and audit completeness. Report sample size and limitations.</w:t>
            </w:r>
          </w:p>
        </w:tc>
        <w:tc>
          <w:tcPr>
            <w:tcW w:type="dxa" w:w="1008"/>
            <w:vAlign w:val="center"/>
            <w:shd w:fill="F4F7FA"/>
          </w:tcPr>
          <w:p>
            <w:pPr>
              <w:spacing w:after="20"/>
            </w:pPr>
            <w:r/>
            <w:r>
              <w:rPr>
                <w:rFonts w:ascii="Aptos" w:hAnsi="Aptos"/>
                <w:b w:val="0"/>
                <w:sz w:val="14"/>
              </w:rPr>
              <w:t>P0 evaluation</w:t>
            </w:r>
          </w:p>
        </w:tc>
      </w:tr>
    </w:tbl>
    <w:p>
      <w:pPr>
        <w:spacing w:after="0"/>
      </w:pPr>
    </w:p>
    <w:p>
      <w:pPr>
        <w:pStyle w:val="Heading1"/>
      </w:pPr>
      <w:r>
        <w:t>5. Innovation and differentiators</w:t>
      </w:r>
    </w:p>
    <w:p>
      <w:r>
        <w:t>DepositGuard's innovation is in combining and making these capabilities explainable—not in claiming that each underlying technology is new.</w:t>
      </w:r>
    </w:p>
    <w:tbl>
      <w:tblPr>
        <w:tblStyle w:val="TableGrid"/>
        <w:tblW w:type="auto" w:w="0"/>
        <w:jc w:val="center"/>
        <w:tblLook w:firstColumn="1" w:firstRow="1" w:lastColumn="0" w:lastRow="0" w:noHBand="0" w:noVBand="1" w:val="04A0"/>
      </w:tblPr>
      <w:tblGrid>
        <w:gridCol w:w="5083"/>
        <w:gridCol w:w="5083"/>
      </w:tblGrid>
      <w:tr>
        <w:trPr>
          <w:cantSplit/>
        </w:trPr>
        <w:tc>
          <w:tcPr>
            <w:tcW w:type="dxa" w:w="2952"/>
            <w:vAlign w:val="center"/>
            <w:shd w:fill="16324F"/>
          </w:tcPr>
          <w:p>
            <w:pPr>
              <w:spacing w:after="20"/>
            </w:pPr>
            <w:r/>
            <w:r>
              <w:rPr>
                <w:rFonts w:ascii="Aptos" w:hAnsi="Aptos"/>
                <w:b/>
                <w:color w:val="FFFFFF"/>
                <w:sz w:val="16"/>
              </w:rPr>
              <w:t>Differentiator</w:t>
            </w:r>
          </w:p>
        </w:tc>
        <w:tc>
          <w:tcPr>
            <w:tcW w:type="dxa" w:w="6984"/>
            <w:vAlign w:val="center"/>
            <w:shd w:fill="16324F"/>
          </w:tcPr>
          <w:p>
            <w:pPr>
              <w:spacing w:after="20"/>
            </w:pPr>
            <w:r/>
            <w:r>
              <w:rPr>
                <w:rFonts w:ascii="Aptos" w:hAnsi="Aptos"/>
                <w:b/>
                <w:color w:val="FFFFFF"/>
                <w:sz w:val="16"/>
              </w:rPr>
              <w:t>What makes it useful</w:t>
            </w:r>
          </w:p>
        </w:tc>
      </w:tr>
      <w:tr>
        <w:trPr>
          <w:cantSplit/>
        </w:trPr>
        <w:tc>
          <w:tcPr>
            <w:tcW w:type="dxa" w:w="2952"/>
            <w:vAlign w:val="center"/>
          </w:tcPr>
          <w:p>
            <w:pPr>
              <w:spacing w:after="20"/>
            </w:pPr>
            <w:r/>
            <w:r>
              <w:rPr>
                <w:rFonts w:ascii="Aptos" w:hAnsi="Aptos"/>
                <w:b w:val="0"/>
                <w:sz w:val="16"/>
              </w:rPr>
              <w:t>I1 — Evidence-linked verification</w:t>
            </w:r>
          </w:p>
        </w:tc>
        <w:tc>
          <w:tcPr>
            <w:tcW w:type="dxa" w:w="6984"/>
            <w:vAlign w:val="center"/>
          </w:tcPr>
          <w:p>
            <w:pPr>
              <w:spacing w:after="20"/>
            </w:pPr>
            <w:r/>
            <w:r>
              <w:rPr>
                <w:rFonts w:ascii="Aptos" w:hAnsi="Aptos"/>
                <w:b w:val="0"/>
                <w:sz w:val="16"/>
              </w:rPr>
              <w:t>Each flag links to the document/version, field values, page/location when available, check result, timestamp and rule version. Reviewers see why the system raised a concern and what remains unresolved.</w:t>
            </w:r>
          </w:p>
        </w:tc>
      </w:tr>
      <w:tr>
        <w:trPr>
          <w:cantSplit/>
        </w:trPr>
        <w:tc>
          <w:tcPr>
            <w:tcW w:type="dxa" w:w="2952"/>
            <w:vAlign w:val="center"/>
            <w:shd w:fill="F4F7FA"/>
          </w:tcPr>
          <w:p>
            <w:pPr>
              <w:spacing w:after="20"/>
            </w:pPr>
            <w:r/>
            <w:r>
              <w:rPr>
                <w:rFonts w:ascii="Aptos" w:hAnsi="Aptos"/>
                <w:b w:val="0"/>
                <w:sz w:val="16"/>
              </w:rPr>
              <w:t>I2 — Layered checks, no magic green tick</w:t>
            </w:r>
          </w:p>
        </w:tc>
        <w:tc>
          <w:tcPr>
            <w:tcW w:type="dxa" w:w="6984"/>
            <w:vAlign w:val="center"/>
            <w:shd w:fill="F4F7FA"/>
          </w:tcPr>
          <w:p>
            <w:pPr>
              <w:spacing w:after="20"/>
            </w:pPr>
            <w:r/>
            <w:r>
              <w:rPr>
                <w:rFonts w:ascii="Aptos" w:hAnsi="Aptos"/>
                <w:b w:val="0"/>
                <w:sz w:val="16"/>
              </w:rPr>
              <w:t>Keep consistency, file integrity, PDF signature, duplicate signal, bank confirmation and human decision separate. A summary must not overstate what any single check establishes.</w:t>
            </w:r>
          </w:p>
        </w:tc>
      </w:tr>
      <w:tr>
        <w:trPr>
          <w:cantSplit/>
        </w:trPr>
        <w:tc>
          <w:tcPr>
            <w:tcW w:type="dxa" w:w="2952"/>
            <w:vAlign w:val="center"/>
          </w:tcPr>
          <w:p>
            <w:pPr>
              <w:spacing w:after="20"/>
            </w:pPr>
            <w:r/>
            <w:r>
              <w:rPr>
                <w:rFonts w:ascii="Aptos" w:hAnsi="Aptos"/>
                <w:b w:val="0"/>
                <w:sz w:val="16"/>
              </w:rPr>
              <w:t>I3 — Actionable deficiency resolution</w:t>
            </w:r>
          </w:p>
        </w:tc>
        <w:tc>
          <w:tcPr>
            <w:tcW w:type="dxa" w:w="6984"/>
            <w:vAlign w:val="center"/>
          </w:tcPr>
          <w:p>
            <w:pPr>
              <w:spacing w:after="20"/>
            </w:pPr>
            <w:r/>
            <w:r>
              <w:rPr>
                <w:rFonts w:ascii="Aptos" w:hAnsi="Aptos"/>
                <w:b w:val="0"/>
                <w:sz w:val="16"/>
              </w:rPr>
              <w:t>Turn a mismatch into a structured clarification request with evidence, requested correction, deadline, resubmission and reviewer resolution history.</w:t>
            </w:r>
          </w:p>
        </w:tc>
      </w:tr>
      <w:tr>
        <w:trPr>
          <w:cantSplit/>
        </w:trPr>
        <w:tc>
          <w:tcPr>
            <w:tcW w:type="dxa" w:w="2952"/>
            <w:vAlign w:val="center"/>
            <w:shd w:fill="F4F7FA"/>
          </w:tcPr>
          <w:p>
            <w:pPr>
              <w:spacing w:after="20"/>
            </w:pPr>
            <w:r/>
            <w:r>
              <w:rPr>
                <w:rFonts w:ascii="Aptos" w:hAnsi="Aptos"/>
                <w:b w:val="0"/>
                <w:sz w:val="16"/>
              </w:rPr>
              <w:t>I4 — Lifecycle-aware prioritisation</w:t>
            </w:r>
          </w:p>
        </w:tc>
        <w:tc>
          <w:tcPr>
            <w:tcW w:type="dxa" w:w="6984"/>
            <w:vAlign w:val="center"/>
            <w:shd w:fill="F4F7FA"/>
          </w:tcPr>
          <w:p>
            <w:pPr>
              <w:spacing w:after="20"/>
            </w:pPr>
            <w:r/>
            <w:r>
              <w:rPr>
                <w:rFonts w:ascii="Aptos" w:hAnsi="Aptos"/>
                <w:b w:val="0"/>
                <w:sz w:val="16"/>
              </w:rPr>
              <w:t>Use transparent configurable rules to prioritise cases based on upcoming maturity, overdue actions, missing clearances and unresolved deficiencies. Rules—not an unvalidated ML model—drive the initial prioritisation.</w:t>
            </w:r>
          </w:p>
        </w:tc>
      </w:tr>
      <w:tr>
        <w:trPr>
          <w:cantSplit/>
        </w:trPr>
        <w:tc>
          <w:tcPr>
            <w:tcW w:type="dxa" w:w="2952"/>
            <w:vAlign w:val="center"/>
          </w:tcPr>
          <w:p>
            <w:pPr>
              <w:spacing w:after="20"/>
            </w:pPr>
            <w:r/>
            <w:r>
              <w:rPr>
                <w:rFonts w:ascii="Aptos" w:hAnsi="Aptos"/>
                <w:b w:val="0"/>
                <w:sz w:val="16"/>
              </w:rPr>
              <w:t>I5 — Consolidated evidence dossier</w:t>
            </w:r>
          </w:p>
        </w:tc>
        <w:tc>
          <w:tcPr>
            <w:tcW w:type="dxa" w:w="6984"/>
            <w:vAlign w:val="center"/>
          </w:tcPr>
          <w:p>
            <w:pPr>
              <w:spacing w:after="20"/>
            </w:pPr>
            <w:r/>
            <w:r>
              <w:rPr>
                <w:rFonts w:ascii="Aptos" w:hAnsi="Aptos"/>
                <w:b w:val="0"/>
                <w:sz w:val="16"/>
              </w:rPr>
              <w:t>Compile checks, source evidence, timestamps, rule/software version, limitations, workflow events and human decisions into a review-ready report.</w:t>
            </w:r>
          </w:p>
        </w:tc>
      </w:tr>
      <w:tr>
        <w:trPr>
          <w:cantSplit/>
        </w:trPr>
        <w:tc>
          <w:tcPr>
            <w:tcW w:type="dxa" w:w="2952"/>
            <w:vAlign w:val="center"/>
            <w:shd w:fill="F4F7FA"/>
          </w:tcPr>
          <w:p>
            <w:pPr>
              <w:spacing w:after="20"/>
            </w:pPr>
            <w:r/>
            <w:r>
              <w:rPr>
                <w:rFonts w:ascii="Aptos" w:hAnsi="Aptos"/>
                <w:b w:val="0"/>
                <w:sz w:val="16"/>
              </w:rPr>
              <w:t>I6 — Configurable policy and workflow engine</w:t>
            </w:r>
          </w:p>
        </w:tc>
        <w:tc>
          <w:tcPr>
            <w:tcW w:type="dxa" w:w="6984"/>
            <w:vAlign w:val="center"/>
            <w:shd w:fill="F4F7FA"/>
          </w:tcPr>
          <w:p>
            <w:pPr>
              <w:spacing w:after="20"/>
            </w:pPr>
            <w:r/>
            <w:r>
              <w:rPr>
                <w:rFonts w:ascii="Aptos" w:hAnsi="Aptos"/>
                <w:b w:val="0"/>
                <w:sz w:val="16"/>
              </w:rPr>
              <w:t>Change approved document checklists, reminders, stages, transitions and thresholds through validated configuration rather than editing application source code.</w:t>
            </w:r>
          </w:p>
        </w:tc>
      </w:tr>
      <w:tr>
        <w:trPr>
          <w:cantSplit/>
        </w:trPr>
        <w:tc>
          <w:tcPr>
            <w:tcW w:type="dxa" w:w="2952"/>
            <w:vAlign w:val="center"/>
          </w:tcPr>
          <w:p>
            <w:pPr>
              <w:spacing w:after="20"/>
            </w:pPr>
            <w:r/>
            <w:r>
              <w:rPr>
                <w:rFonts w:ascii="Aptos" w:hAnsi="Aptos"/>
                <w:b w:val="0"/>
                <w:sz w:val="16"/>
              </w:rPr>
              <w:t>I7 — Inclusive interaction</w:t>
            </w:r>
          </w:p>
        </w:tc>
        <w:tc>
          <w:tcPr>
            <w:tcW w:type="dxa" w:w="6984"/>
            <w:vAlign w:val="center"/>
          </w:tcPr>
          <w:p>
            <w:pPr>
              <w:spacing w:after="20"/>
            </w:pPr>
            <w:r/>
            <w:r>
              <w:rPr>
                <w:rFonts w:ascii="Aptos" w:hAnsi="Aptos"/>
                <w:b w:val="0"/>
                <w:sz w:val="16"/>
              </w:rPr>
              <w:t>Multilingual labels, read-aloud, guided submission and accessibility controls reduce interaction barriers without weakening access control.</w:t>
            </w:r>
          </w:p>
        </w:tc>
      </w:tr>
      <w:tr>
        <w:trPr>
          <w:cantSplit/>
        </w:trPr>
        <w:tc>
          <w:tcPr>
            <w:tcW w:type="dxa" w:w="2952"/>
            <w:vAlign w:val="center"/>
            <w:shd w:fill="F4F7FA"/>
          </w:tcPr>
          <w:p>
            <w:pPr>
              <w:spacing w:after="20"/>
            </w:pPr>
            <w:r/>
            <w:r>
              <w:rPr>
                <w:rFonts w:ascii="Aptos" w:hAnsi="Aptos"/>
                <w:b w:val="0"/>
                <w:sz w:val="16"/>
              </w:rPr>
              <w:t>I8 — Honest verification provenance</w:t>
            </w:r>
          </w:p>
        </w:tc>
        <w:tc>
          <w:tcPr>
            <w:tcW w:type="dxa" w:w="6984"/>
            <w:vAlign w:val="center"/>
            <w:shd w:fill="F4F7FA"/>
          </w:tcPr>
          <w:p>
            <w:pPr>
              <w:spacing w:after="20"/>
            </w:pPr>
            <w:r/>
            <w:r>
              <w:rPr>
                <w:rFonts w:ascii="Aptos" w:hAnsi="Aptos"/>
                <w:b w:val="0"/>
                <w:sz w:val="16"/>
              </w:rPr>
              <w:t>Every bank result identifies whether it came from an authorised live integration, manual evidence, demo simulation, or an unavailable/inconclusive process.</w:t>
            </w:r>
          </w:p>
        </w:tc>
      </w:tr>
    </w:tbl>
    <w:p>
      <w:pPr>
        <w:spacing w:after="0"/>
      </w:pPr>
    </w:p>
    <w:tbl>
      <w:tblPr>
        <w:tblStyle w:val="TableGrid"/>
        <w:tblW w:type="auto" w:w="0"/>
        <w:tblLook w:firstColumn="1" w:firstRow="1" w:lastColumn="0" w:lastRow="0" w:noHBand="0" w:noVBand="1" w:val="04A0"/>
      </w:tblPr>
      <w:tblGrid>
        <w:gridCol w:w="10166"/>
      </w:tblGrid>
      <w:tr>
        <w:trPr>
          <w:cantSplit/>
        </w:trPr>
        <w:tc>
          <w:tcPr>
            <w:tcW w:type="dxa" w:w="10166"/>
            <w:shd w:fill="EAF1F7"/>
          </w:tcPr>
          <w:p>
            <w:pPr>
              <w:spacing w:after="40"/>
            </w:pPr>
            <w:r/>
            <w:r>
              <w:rPr>
                <w:b/>
                <w:color w:val="16324F"/>
                <w:sz w:val="20"/>
              </w:rPr>
              <w:t>Innovation claim for PPT</w:t>
              <w:br/>
            </w:r>
            <w:r>
              <w:rPr>
                <w:sz w:val="18"/>
              </w:rPr>
              <w:t>DepositGuard moves beyond record storage by linking each verification finding to evidence, next action and review history; connecting discrepancy resolution with lifecycle workflows; and keeping rules configurable, outcomes explainable and human decisions accountable.</w:t>
            </w:r>
          </w:p>
        </w:tc>
      </w:tr>
    </w:tbl>
    <w:p>
      <w:pPr>
        <w:spacing w:after="0"/>
      </w:pPr>
    </w:p>
    <w:p>
      <w:pPr>
        <w:pStyle w:val="Heading1"/>
      </w:pPr>
      <w:r>
        <w:t>6. End-to-end workflows</w:t>
      </w:r>
    </w:p>
    <w:p>
      <w:pPr>
        <w:pStyle w:val="Heading2"/>
      </w:pPr>
      <w:r>
        <w:t>6.1 New FDR submission and review</w:t>
      </w:r>
    </w:p>
    <w:p>
      <w:pPr>
        <w:pStyle w:val="ListNumber"/>
        <w:spacing w:after="40"/>
      </w:pPr>
      <w:r>
        <w:t>Institution user creates or selects an authorised institution record and enters instrument details.</w:t>
      </w:r>
    </w:p>
    <w:p>
      <w:pPr>
        <w:pStyle w:val="ListNumber"/>
        <w:spacing w:after="40"/>
      </w:pPr>
      <w:r>
        <w:t>System loads the applicable, versioned document checklist and workflow rules.</w:t>
      </w:r>
    </w:p>
    <w:p>
      <w:pPr>
        <w:pStyle w:val="ListNumber"/>
        <w:spacing w:after="40"/>
      </w:pPr>
      <w:r>
        <w:t>User uploads documents; server validates files, stores them privately, assigns document/version IDs and calculates SHA-256.</w:t>
      </w:r>
    </w:p>
    <w:p>
      <w:pPr>
        <w:pStyle w:val="ListNumber"/>
        <w:spacing w:after="40"/>
      </w:pPr>
      <w:r>
        <w:t>System checks completeness and runs configured consistency checks. OCR runs only if available; extracted values retain confidence and source references.</w:t>
      </w:r>
    </w:p>
    <w:p>
      <w:pPr>
        <w:pStyle w:val="ListNumber"/>
        <w:spacing w:after="40"/>
      </w:pPr>
      <w:r>
        <w:t>Dashboard shows individual results: passed, flagged, pending, inconclusive, not completed or not applicable.</w:t>
      </w:r>
    </w:p>
    <w:p>
      <w:pPr>
        <w:pStyle w:val="ListNumber"/>
        <w:spacing w:after="40"/>
      </w:pPr>
      <w:r>
        <w:t>If a deficiency exists, the review officer records a structured clarification request and due date.</w:t>
      </w:r>
    </w:p>
    <w:p>
      <w:pPr>
        <w:pStyle w:val="ListNumber"/>
        <w:spacing w:after="40"/>
      </w:pPr>
      <w:r>
        <w:t>Institution responds or resubmits; new versions are linked rather than overwriting prior evidence.</w:t>
      </w:r>
    </w:p>
    <w:p>
      <w:pPr>
        <w:pStyle w:val="ListNumber"/>
        <w:spacing w:after="40"/>
      </w:pPr>
      <w:r>
        <w:t>Officer reviews evidence, records observations and resolves or escalates the issue.</w:t>
      </w:r>
    </w:p>
    <w:p>
      <w:pPr>
        <w:pStyle w:val="ListNumber"/>
        <w:spacing w:after="40"/>
      </w:pPr>
      <w:r>
        <w:t>Required clearances and authorised approval are recorded; a dossier is generated from checks actually performed.</w:t>
      </w:r>
    </w:p>
    <w:p>
      <w:pPr>
        <w:pStyle w:val="Heading2"/>
      </w:pPr>
      <w:r>
        <w:t>6.2 Maturity, renewal and replacement</w:t>
      </w:r>
    </w:p>
    <w:p>
      <w:pPr>
        <w:pStyle w:val="ListNumber"/>
        <w:spacing w:after="40"/>
      </w:pPr>
      <w:r>
        <w:t>A scheduled task evaluates maturity and configured reminder windows using database dates and versioned policy.</w:t>
      </w:r>
    </w:p>
    <w:p>
      <w:pPr>
        <w:pStyle w:val="ListNumber"/>
        <w:spacing w:after="40"/>
      </w:pPr>
      <w:r>
        <w:t>Upcoming or overdue instruments appear in the relevant dashboard/queue and notifications are recorded.</w:t>
      </w:r>
    </w:p>
    <w:p>
      <w:pPr>
        <w:pStyle w:val="ListNumber"/>
        <w:spacing w:after="40"/>
      </w:pPr>
      <w:r>
        <w:t>Institution submits renewal/replacement evidence where required by applicable rules.</w:t>
      </w:r>
    </w:p>
    <w:p>
      <w:pPr>
        <w:pStyle w:val="ListNumber"/>
        <w:spacing w:after="40"/>
      </w:pPr>
      <w:r>
        <w:t>Replacement record links to the prior instrument; previous record, hash, documents and decisions remain in history.</w:t>
      </w:r>
    </w:p>
    <w:p>
      <w:pPr>
        <w:pStyle w:val="ListNumber"/>
        <w:spacing w:after="40"/>
      </w:pPr>
      <w:r>
        <w:t>Required checks are re-run and the authorised reviewer records the outcome.</w:t>
      </w:r>
    </w:p>
    <w:p>
      <w:pPr>
        <w:pStyle w:val="Heading2"/>
      </w:pPr>
      <w:r>
        <w:t>6.3 Release/refund request</w:t>
      </w:r>
    </w:p>
    <w:p>
      <w:pPr>
        <w:pStyle w:val="ListNumber"/>
        <w:spacing w:after="40"/>
      </w:pPr>
      <w:r>
        <w:t>Authorised user submits a release/refund request and the system loads the applicable configured requirements.</w:t>
      </w:r>
    </w:p>
    <w:p>
      <w:pPr>
        <w:pStyle w:val="ListNumber"/>
        <w:spacing w:after="40"/>
      </w:pPr>
      <w:r>
        <w:t>System checks required documents and configured eligibility/workflow conditions; missing items are shown as deficiencies.</w:t>
      </w:r>
    </w:p>
    <w:p>
      <w:pPr>
        <w:pStyle w:val="ListNumber"/>
        <w:spacing w:after="40"/>
      </w:pPr>
      <w:r>
        <w:t>Required review cells/clearances are represented as configurable workflow tasks, subject to current applicable policy.</w:t>
      </w:r>
    </w:p>
    <w:p>
      <w:pPr>
        <w:pStyle w:val="ListNumber"/>
        <w:spacing w:after="40"/>
      </w:pPr>
      <w:r>
        <w:t>Backend rejects an attempted transition if required clearances, role permissions or required evidence are missing.</w:t>
      </w:r>
    </w:p>
    <w:p>
      <w:pPr>
        <w:pStyle w:val="ListNumber"/>
        <w:spacing w:after="40"/>
      </w:pPr>
      <w:r>
        <w:t>Competent authorised approver records a decision and reason; no automated OCR/hash result triggers release by itself.</w:t>
      </w:r>
    </w:p>
    <w:p>
      <w:pPr>
        <w:pStyle w:val="ListNumber"/>
        <w:spacing w:after="40"/>
      </w:pPr>
      <w:r>
        <w:t>Request, evidence, clearances, decision, timestamps and audit events are retained in the dossier.</w:t>
      </w:r>
    </w:p>
    <w:p>
      <w:pPr>
        <w:pStyle w:val="Heading2"/>
      </w:pPr>
      <w:r>
        <w:t>6.4 Bank-verification modes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520"/>
            <w:vAlign w:val="center"/>
            <w:shd w:fill="16324F"/>
          </w:tcPr>
          <w:p>
            <w:pPr>
              <w:spacing w:after="20"/>
            </w:pPr>
            <w:r/>
            <w:r>
              <w:rPr>
                <w:rFonts w:ascii="Aptos" w:hAnsi="Aptos"/>
                <w:b/>
                <w:color w:val="FFFFFF"/>
                <w:sz w:val="15"/>
              </w:rPr>
              <w:t>Mode</w:t>
            </w:r>
          </w:p>
        </w:tc>
        <w:tc>
          <w:tcPr>
            <w:tcW w:type="dxa" w:w="3456"/>
            <w:vAlign w:val="center"/>
            <w:shd w:fill="16324F"/>
          </w:tcPr>
          <w:p>
            <w:pPr>
              <w:spacing w:after="20"/>
            </w:pPr>
            <w:r/>
            <w:r>
              <w:rPr>
                <w:rFonts w:ascii="Aptos" w:hAnsi="Aptos"/>
                <w:b/>
                <w:color w:val="FFFFFF"/>
                <w:sz w:val="15"/>
              </w:rPr>
              <w:t>Permitted representation</w:t>
            </w:r>
          </w:p>
        </w:tc>
        <w:tc>
          <w:tcPr>
            <w:tcW w:type="dxa" w:w="3960"/>
            <w:vAlign w:val="center"/>
            <w:shd w:fill="16324F"/>
          </w:tcPr>
          <w:p>
            <w:pPr>
              <w:spacing w:after="20"/>
            </w:pPr>
            <w:r/>
            <w:r>
              <w:rPr>
                <w:rFonts w:ascii="Aptos" w:hAnsi="Aptos"/>
                <w:b/>
                <w:color w:val="FFFFFF"/>
                <w:sz w:val="15"/>
              </w:rPr>
              <w:t>Required controls</w:t>
            </w:r>
          </w:p>
        </w:tc>
      </w:tr>
      <w:tr>
        <w:trPr>
          <w:cantSplit/>
        </w:trPr>
        <w:tc>
          <w:tcPr>
            <w:tcW w:type="dxa" w:w="2520"/>
            <w:vAlign w:val="center"/>
          </w:tcPr>
          <w:p>
            <w:pPr>
              <w:spacing w:after="20"/>
            </w:pPr>
            <w:r/>
            <w:r>
              <w:rPr>
                <w:rFonts w:ascii="Aptos" w:hAnsi="Aptos"/>
                <w:b w:val="0"/>
                <w:sz w:val="15"/>
              </w:rPr>
              <w:t>LIVE_AUTHORISED_VERIFICATION</w:t>
            </w:r>
          </w:p>
        </w:tc>
        <w:tc>
          <w:tcPr>
            <w:tcW w:type="dxa" w:w="3456"/>
            <w:vAlign w:val="center"/>
          </w:tcPr>
          <w:p>
            <w:pPr>
              <w:spacing w:after="20"/>
            </w:pPr>
            <w:r/>
            <w:r>
              <w:rPr>
                <w:rFonts w:ascii="Aptos" w:hAnsi="Aptos"/>
                <w:b w:val="0"/>
                <w:sz w:val="15"/>
              </w:rPr>
              <w:t>A real authorised source has returned a response.</w:t>
            </w:r>
          </w:p>
        </w:tc>
        <w:tc>
          <w:tcPr>
            <w:tcW w:type="dxa" w:w="3960"/>
            <w:vAlign w:val="center"/>
          </w:tcPr>
          <w:p>
            <w:pPr>
              <w:spacing w:after="20"/>
            </w:pPr>
            <w:r/>
            <w:r>
              <w:rPr>
                <w:rFonts w:ascii="Aptos" w:hAnsi="Aptos"/>
                <w:b w:val="0"/>
                <w:sz w:val="15"/>
              </w:rPr>
              <w:t>Approved integration, credentials handled securely, request/response provenance, timestamps, failure states and access approval.</w:t>
            </w:r>
          </w:p>
        </w:tc>
      </w:tr>
      <w:tr>
        <w:trPr>
          <w:cantSplit/>
        </w:trPr>
        <w:tc>
          <w:tcPr>
            <w:tcW w:type="dxa" w:w="2520"/>
            <w:vAlign w:val="center"/>
            <w:shd w:fill="F4F7FA"/>
          </w:tcPr>
          <w:p>
            <w:pPr>
              <w:spacing w:after="20"/>
            </w:pPr>
            <w:r/>
            <w:r>
              <w:rPr>
                <w:rFonts w:ascii="Aptos" w:hAnsi="Aptos"/>
                <w:b w:val="0"/>
                <w:sz w:val="15"/>
              </w:rPr>
              <w:t>MANUAL_VERIFICATION</w:t>
            </w:r>
          </w:p>
        </w:tc>
        <w:tc>
          <w:tcPr>
            <w:tcW w:type="dxa" w:w="3456"/>
            <w:vAlign w:val="center"/>
            <w:shd w:fill="F4F7FA"/>
          </w:tcPr>
          <w:p>
            <w:pPr>
              <w:spacing w:after="20"/>
            </w:pPr>
            <w:r/>
            <w:r>
              <w:rPr>
                <w:rFonts w:ascii="Aptos" w:hAnsi="Aptos"/>
                <w:b w:val="0"/>
                <w:sz w:val="15"/>
              </w:rPr>
              <w:t>An authorised user recorded an external/manual check.</w:t>
            </w:r>
          </w:p>
        </w:tc>
        <w:tc>
          <w:tcPr>
            <w:tcW w:type="dxa" w:w="3960"/>
            <w:vAlign w:val="center"/>
            <w:shd w:fill="F4F7FA"/>
          </w:tcPr>
          <w:p>
            <w:pPr>
              <w:spacing w:after="20"/>
            </w:pPr>
            <w:r/>
            <w:r>
              <w:rPr>
                <w:rFonts w:ascii="Aptos" w:hAnsi="Aptos"/>
                <w:b w:val="0"/>
                <w:sz w:val="15"/>
              </w:rPr>
              <w:t>Actor, date/time, method, reference/evidence, outcome, notes and reviewer accountability.</w:t>
            </w:r>
          </w:p>
        </w:tc>
      </w:tr>
      <w:tr>
        <w:trPr>
          <w:cantSplit/>
        </w:trPr>
        <w:tc>
          <w:tcPr>
            <w:tcW w:type="dxa" w:w="2520"/>
            <w:vAlign w:val="center"/>
          </w:tcPr>
          <w:p>
            <w:pPr>
              <w:spacing w:after="20"/>
            </w:pPr>
            <w:r/>
            <w:r>
              <w:rPr>
                <w:rFonts w:ascii="Aptos" w:hAnsi="Aptos"/>
                <w:b w:val="0"/>
                <w:sz w:val="15"/>
              </w:rPr>
              <w:t>DEMO_SIMULATED_VERIFICATION</w:t>
            </w:r>
          </w:p>
        </w:tc>
        <w:tc>
          <w:tcPr>
            <w:tcW w:type="dxa" w:w="3456"/>
            <w:vAlign w:val="center"/>
          </w:tcPr>
          <w:p>
            <w:pPr>
              <w:spacing w:after="20"/>
            </w:pPr>
            <w:r/>
            <w:r>
              <w:rPr>
                <w:rFonts w:ascii="Aptos" w:hAnsi="Aptos"/>
                <w:b w:val="0"/>
                <w:sz w:val="15"/>
              </w:rPr>
              <w:t>Synthetic response used only for a prototype demonstration.</w:t>
            </w:r>
          </w:p>
        </w:tc>
        <w:tc>
          <w:tcPr>
            <w:tcW w:type="dxa" w:w="3960"/>
            <w:vAlign w:val="center"/>
          </w:tcPr>
          <w:p>
            <w:pPr>
              <w:spacing w:after="20"/>
            </w:pPr>
            <w:r/>
            <w:r>
              <w:rPr>
                <w:rFonts w:ascii="Aptos" w:hAnsi="Aptos"/>
                <w:b w:val="0"/>
                <w:sz w:val="15"/>
              </w:rPr>
              <w:t>Persistent visible DEMO/SIMULATED label; synthetic data only; never represented as bank confirmation.</w:t>
            </w:r>
          </w:p>
        </w:tc>
      </w:tr>
      <w:tr>
        <w:trPr>
          <w:cantSplit/>
        </w:trPr>
        <w:tc>
          <w:tcPr>
            <w:tcW w:type="dxa" w:w="2520"/>
            <w:vAlign w:val="center"/>
            <w:shd w:fill="F4F7FA"/>
          </w:tcPr>
          <w:p>
            <w:pPr>
              <w:spacing w:after="20"/>
            </w:pPr>
            <w:r/>
            <w:r>
              <w:rPr>
                <w:rFonts w:ascii="Aptos" w:hAnsi="Aptos"/>
                <w:b w:val="0"/>
                <w:sz w:val="15"/>
              </w:rPr>
              <w:t>PENDING / UNAVAILABLE / INCONCLUSIVE</w:t>
            </w:r>
          </w:p>
        </w:tc>
        <w:tc>
          <w:tcPr>
            <w:tcW w:type="dxa" w:w="3456"/>
            <w:vAlign w:val="center"/>
            <w:shd w:fill="F4F7FA"/>
          </w:tcPr>
          <w:p>
            <w:pPr>
              <w:spacing w:after="20"/>
            </w:pPr>
            <w:r/>
            <w:r>
              <w:rPr>
                <w:rFonts w:ascii="Aptos" w:hAnsi="Aptos"/>
                <w:b w:val="0"/>
                <w:sz w:val="15"/>
              </w:rPr>
              <w:t>No conclusive confirmation is available.</w:t>
            </w:r>
          </w:p>
        </w:tc>
        <w:tc>
          <w:tcPr>
            <w:tcW w:type="dxa" w:w="3960"/>
            <w:vAlign w:val="center"/>
            <w:shd w:fill="F4F7FA"/>
          </w:tcPr>
          <w:p>
            <w:pPr>
              <w:spacing w:after="20"/>
            </w:pPr>
            <w:r/>
            <w:r>
              <w:rPr>
                <w:rFonts w:ascii="Aptos" w:hAnsi="Aptos"/>
                <w:b w:val="0"/>
                <w:sz w:val="15"/>
              </w:rPr>
              <w:t>Never silently convert to pass; show next action and reason.</w:t>
            </w:r>
          </w:p>
        </w:tc>
      </w:tr>
    </w:tbl>
    <w:p>
      <w:pPr>
        <w:spacing w:after="0"/>
      </w:pPr>
    </w:p>
    <w:p>
      <w:pPr>
        <w:pStyle w:val="Heading1"/>
      </w:pPr>
      <w:r>
        <w:t>7. Roles, permissions and governance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232"/>
            <w:vAlign w:val="center"/>
            <w:shd w:fill="16324F"/>
          </w:tcPr>
          <w:p>
            <w:pPr>
              <w:spacing w:after="20"/>
            </w:pPr>
            <w:r/>
            <w:r>
              <w:rPr>
                <w:rFonts w:ascii="Aptos" w:hAnsi="Aptos"/>
                <w:b/>
                <w:color w:val="FFFFFF"/>
                <w:sz w:val="15"/>
              </w:rPr>
              <w:t>Role</w:t>
            </w:r>
          </w:p>
        </w:tc>
        <w:tc>
          <w:tcPr>
            <w:tcW w:type="dxa" w:w="4032"/>
            <w:vAlign w:val="center"/>
            <w:shd w:fill="16324F"/>
          </w:tcPr>
          <w:p>
            <w:pPr>
              <w:spacing w:after="20"/>
            </w:pPr>
            <w:r/>
            <w:r>
              <w:rPr>
                <w:rFonts w:ascii="Aptos" w:hAnsi="Aptos"/>
                <w:b/>
                <w:color w:val="FFFFFF"/>
                <w:sz w:val="15"/>
              </w:rPr>
              <w:t>Can do</w:t>
            </w:r>
          </w:p>
        </w:tc>
        <w:tc>
          <w:tcPr>
            <w:tcW w:type="dxa" w:w="3672"/>
            <w:vAlign w:val="center"/>
            <w:shd w:fill="16324F"/>
          </w:tcPr>
          <w:p>
            <w:pPr>
              <w:spacing w:after="20"/>
            </w:pPr>
            <w:r/>
            <w:r>
              <w:rPr>
                <w:rFonts w:ascii="Aptos" w:hAnsi="Aptos"/>
                <w:b/>
                <w:color w:val="FFFFFF"/>
                <w:sz w:val="15"/>
              </w:rPr>
              <w:t>Must not do</w:t>
            </w:r>
          </w:p>
        </w:tc>
      </w:tr>
      <w:tr>
        <w:trPr>
          <w:cantSplit/>
        </w:trPr>
        <w:tc>
          <w:tcPr>
            <w:tcW w:type="dxa" w:w="2232"/>
            <w:vAlign w:val="center"/>
          </w:tcPr>
          <w:p>
            <w:pPr>
              <w:spacing w:after="20"/>
            </w:pPr>
            <w:r/>
            <w:r>
              <w:rPr>
                <w:rFonts w:ascii="Aptos" w:hAnsi="Aptos"/>
                <w:b w:val="0"/>
                <w:sz w:val="15"/>
              </w:rPr>
              <w:t>Institution user</w:t>
            </w:r>
          </w:p>
        </w:tc>
        <w:tc>
          <w:tcPr>
            <w:tcW w:type="dxa" w:w="4032"/>
            <w:vAlign w:val="center"/>
          </w:tcPr>
          <w:p>
            <w:pPr>
              <w:spacing w:after="20"/>
            </w:pPr>
            <w:r/>
            <w:r>
              <w:rPr>
                <w:rFonts w:ascii="Aptos" w:hAnsi="Aptos"/>
                <w:b w:val="0"/>
                <w:sz w:val="15"/>
              </w:rPr>
              <w:t>Create/update own permitted records, upload documents, view own status, respond to deficiencies, submit requests.</w:t>
            </w:r>
          </w:p>
        </w:tc>
        <w:tc>
          <w:tcPr>
            <w:tcW w:type="dxa" w:w="3672"/>
            <w:vAlign w:val="center"/>
          </w:tcPr>
          <w:p>
            <w:pPr>
              <w:spacing w:after="20"/>
            </w:pPr>
            <w:r/>
            <w:r>
              <w:rPr>
                <w:rFonts w:ascii="Aptos" w:hAnsi="Aptos"/>
                <w:b w:val="0"/>
                <w:sz w:val="15"/>
              </w:rPr>
              <w:t>Access another institution's records; alter reviewer findings; approve own release request where separation of duties applies.</w:t>
            </w:r>
          </w:p>
        </w:tc>
      </w:tr>
      <w:tr>
        <w:trPr>
          <w:cantSplit/>
        </w:trPr>
        <w:tc>
          <w:tcPr>
            <w:tcW w:type="dxa" w:w="2232"/>
            <w:vAlign w:val="center"/>
            <w:shd w:fill="F4F7FA"/>
          </w:tcPr>
          <w:p>
            <w:pPr>
              <w:spacing w:after="20"/>
            </w:pPr>
            <w:r/>
            <w:r>
              <w:rPr>
                <w:rFonts w:ascii="Aptos" w:hAnsi="Aptos"/>
                <w:b w:val="0"/>
                <w:sz w:val="15"/>
              </w:rPr>
              <w:t>Review officer</w:t>
            </w:r>
          </w:p>
        </w:tc>
        <w:tc>
          <w:tcPr>
            <w:tcW w:type="dxa" w:w="4032"/>
            <w:vAlign w:val="center"/>
            <w:shd w:fill="F4F7FA"/>
          </w:tcPr>
          <w:p>
            <w:pPr>
              <w:spacing w:after="20"/>
            </w:pPr>
            <w:r/>
            <w:r>
              <w:rPr>
                <w:rFonts w:ascii="Aptos" w:hAnsi="Aptos"/>
                <w:b w:val="0"/>
                <w:sz w:val="15"/>
              </w:rPr>
              <w:t>View assigned cases, inspect evidence, run/inspect checks, record observations, request clarification, resolve/ escalate according to permissions.</w:t>
            </w:r>
          </w:p>
        </w:tc>
        <w:tc>
          <w:tcPr>
            <w:tcW w:type="dxa" w:w="3672"/>
            <w:vAlign w:val="center"/>
            <w:shd w:fill="F4F7FA"/>
          </w:tcPr>
          <w:p>
            <w:pPr>
              <w:spacing w:after="20"/>
            </w:pPr>
            <w:r/>
            <w:r>
              <w:rPr>
                <w:rFonts w:ascii="Aptos" w:hAnsi="Aptos"/>
                <w:b w:val="0"/>
                <w:sz w:val="15"/>
              </w:rPr>
              <w:t>Erase audit history; bypass mandatory clearance; perform an approval reserved for another role.</w:t>
            </w:r>
          </w:p>
        </w:tc>
      </w:tr>
      <w:tr>
        <w:trPr>
          <w:cantSplit/>
        </w:trPr>
        <w:tc>
          <w:tcPr>
            <w:tcW w:type="dxa" w:w="2232"/>
            <w:vAlign w:val="center"/>
          </w:tcPr>
          <w:p>
            <w:pPr>
              <w:spacing w:after="20"/>
            </w:pPr>
            <w:r/>
            <w:r>
              <w:rPr>
                <w:rFonts w:ascii="Aptos" w:hAnsi="Aptos"/>
                <w:b w:val="0"/>
                <w:sz w:val="15"/>
              </w:rPr>
              <w:t>Authorised approver</w:t>
            </w:r>
          </w:p>
        </w:tc>
        <w:tc>
          <w:tcPr>
            <w:tcW w:type="dxa" w:w="4032"/>
            <w:vAlign w:val="center"/>
          </w:tcPr>
          <w:p>
            <w:pPr>
              <w:spacing w:after="20"/>
            </w:pPr>
            <w:r/>
            <w:r>
              <w:rPr>
                <w:rFonts w:ascii="Aptos" w:hAnsi="Aptos"/>
                <w:b w:val="0"/>
                <w:sz w:val="15"/>
              </w:rPr>
              <w:t>Review completed evidence and required clearances; record authorised decision and reason.</w:t>
            </w:r>
          </w:p>
        </w:tc>
        <w:tc>
          <w:tcPr>
            <w:tcW w:type="dxa" w:w="3672"/>
            <w:vAlign w:val="center"/>
          </w:tcPr>
          <w:p>
            <w:pPr>
              <w:spacing w:after="20"/>
            </w:pPr>
            <w:r/>
            <w:r>
              <w:rPr>
                <w:rFonts w:ascii="Aptos" w:hAnsi="Aptos"/>
                <w:b w:val="0"/>
                <w:sz w:val="15"/>
              </w:rPr>
              <w:t>Approve based solely on OCR/hash/AI flag; bypass configured mandatory gates.</w:t>
            </w:r>
          </w:p>
        </w:tc>
      </w:tr>
      <w:tr>
        <w:trPr>
          <w:cantSplit/>
        </w:trPr>
        <w:tc>
          <w:tcPr>
            <w:tcW w:type="dxa" w:w="2232"/>
            <w:vAlign w:val="center"/>
            <w:shd w:fill="F4F7FA"/>
          </w:tcPr>
          <w:p>
            <w:pPr>
              <w:spacing w:after="20"/>
            </w:pPr>
            <w:r/>
            <w:r>
              <w:rPr>
                <w:rFonts w:ascii="Aptos" w:hAnsi="Aptos"/>
                <w:b w:val="0"/>
                <w:sz w:val="15"/>
              </w:rPr>
              <w:t>System administrator</w:t>
            </w:r>
          </w:p>
        </w:tc>
        <w:tc>
          <w:tcPr>
            <w:tcW w:type="dxa" w:w="4032"/>
            <w:vAlign w:val="center"/>
            <w:shd w:fill="F4F7FA"/>
          </w:tcPr>
          <w:p>
            <w:pPr>
              <w:spacing w:after="20"/>
            </w:pPr>
            <w:r/>
            <w:r>
              <w:rPr>
                <w:rFonts w:ascii="Aptos" w:hAnsi="Aptos"/>
                <w:b w:val="0"/>
                <w:sz w:val="15"/>
              </w:rPr>
              <w:t>Manage users/roles and approved policy configuration; view system health and logs according to permission.</w:t>
            </w:r>
          </w:p>
        </w:tc>
        <w:tc>
          <w:tcPr>
            <w:tcW w:type="dxa" w:w="3672"/>
            <w:vAlign w:val="center"/>
            <w:shd w:fill="F4F7FA"/>
          </w:tcPr>
          <w:p>
            <w:pPr>
              <w:spacing w:after="20"/>
            </w:pPr>
            <w:r/>
            <w:r>
              <w:rPr>
                <w:rFonts w:ascii="Aptos" w:hAnsi="Aptos"/>
                <w:b w:val="0"/>
                <w:sz w:val="15"/>
              </w:rPr>
              <w:t>Use administrator privilege to silently alter evidence or erase history; access unnecessary financial data.</w:t>
            </w:r>
          </w:p>
        </w:tc>
      </w:tr>
      <w:tr>
        <w:trPr>
          <w:cantSplit/>
        </w:trPr>
        <w:tc>
          <w:tcPr>
            <w:tcW w:type="dxa" w:w="2232"/>
            <w:vAlign w:val="center"/>
          </w:tcPr>
          <w:p>
            <w:pPr>
              <w:spacing w:after="20"/>
            </w:pPr>
            <w:r/>
            <w:r>
              <w:rPr>
                <w:rFonts w:ascii="Aptos" w:hAnsi="Aptos"/>
                <w:b w:val="0"/>
                <w:sz w:val="15"/>
              </w:rPr>
              <w:t>Read-only demo/auditor (optional)</w:t>
            </w:r>
          </w:p>
        </w:tc>
        <w:tc>
          <w:tcPr>
            <w:tcW w:type="dxa" w:w="4032"/>
            <w:vAlign w:val="center"/>
          </w:tcPr>
          <w:p>
            <w:pPr>
              <w:spacing w:after="20"/>
            </w:pPr>
            <w:r/>
            <w:r>
              <w:rPr>
                <w:rFonts w:ascii="Aptos" w:hAnsi="Aptos"/>
                <w:b w:val="0"/>
                <w:sz w:val="15"/>
              </w:rPr>
              <w:t>Inspect synthetic demonstration records and generated dossier.</w:t>
            </w:r>
          </w:p>
        </w:tc>
        <w:tc>
          <w:tcPr>
            <w:tcW w:type="dxa" w:w="3672"/>
            <w:vAlign w:val="center"/>
          </w:tcPr>
          <w:p>
            <w:pPr>
              <w:spacing w:after="20"/>
            </w:pPr>
            <w:r/>
            <w:r>
              <w:rPr>
                <w:rFonts w:ascii="Aptos" w:hAnsi="Aptos"/>
                <w:b w:val="0"/>
                <w:sz w:val="15"/>
              </w:rPr>
              <w:t>Upload/modify records or view production/confidential data.</w:t>
            </w:r>
          </w:p>
        </w:tc>
      </w:tr>
    </w:tbl>
    <w:p>
      <w:pPr>
        <w:spacing w:after="0"/>
      </w:pPr>
    </w:p>
    <w:p>
      <w:r>
        <w:t>Every API endpoint, record lookup, dashboard query and file download must enforce permissions server-side. Hiding a button in the frontend is not an access-control mechanism.</w:t>
      </w:r>
    </w:p>
    <w:p>
      <w:pPr>
        <w:pStyle w:val="Heading1"/>
      </w:pPr>
      <w:r>
        <w:t>8. Technical architecture and recommended stack</w:t>
      </w:r>
    </w:p>
    <w:p>
      <w:pPr>
        <w:pStyle w:val="Heading2"/>
      </w:pPr>
      <w:r>
        <w:t>8.1 Architecture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72"/>
            <w:vAlign w:val="center"/>
            <w:shd w:fill="16324F"/>
          </w:tcPr>
          <w:p>
            <w:pPr>
              <w:spacing w:after="20"/>
            </w:pPr>
            <w:r/>
            <w:r>
              <w:rPr>
                <w:rFonts w:ascii="Aptos" w:hAnsi="Aptos"/>
                <w:b/>
                <w:color w:val="FFFFFF"/>
                <w:sz w:val="15"/>
              </w:rPr>
              <w:t>Layer</w:t>
            </w:r>
          </w:p>
        </w:tc>
        <w:tc>
          <w:tcPr>
            <w:tcW w:type="dxa" w:w="3168"/>
            <w:vAlign w:val="center"/>
            <w:shd w:fill="16324F"/>
          </w:tcPr>
          <w:p>
            <w:pPr>
              <w:spacing w:after="20"/>
            </w:pPr>
            <w:r/>
            <w:r>
              <w:rPr>
                <w:rFonts w:ascii="Aptos" w:hAnsi="Aptos"/>
                <w:b/>
                <w:color w:val="FFFFFF"/>
                <w:sz w:val="15"/>
              </w:rPr>
              <w:t>Recommended choice</w:t>
            </w:r>
          </w:p>
        </w:tc>
        <w:tc>
          <w:tcPr>
            <w:tcW w:type="dxa" w:w="4896"/>
            <w:vAlign w:val="center"/>
            <w:shd w:fill="16324F"/>
          </w:tcPr>
          <w:p>
            <w:pPr>
              <w:spacing w:after="20"/>
            </w:pPr>
            <w:r/>
            <w:r>
              <w:rPr>
                <w:rFonts w:ascii="Aptos" w:hAnsi="Aptos"/>
                <w:b/>
                <w:color w:val="FFFFFF"/>
                <w:sz w:val="15"/>
              </w:rPr>
              <w:t>Responsibility</w:t>
            </w:r>
          </w:p>
        </w:tc>
      </w:tr>
      <w:tr>
        <w:trPr>
          <w:cantSplit/>
        </w:trPr>
        <w:tc>
          <w:tcPr>
            <w:tcW w:type="dxa" w:w="1872"/>
            <w:vAlign w:val="center"/>
          </w:tcPr>
          <w:p>
            <w:pPr>
              <w:spacing w:after="20"/>
            </w:pPr>
            <w:r/>
            <w:r>
              <w:rPr>
                <w:rFonts w:ascii="Aptos" w:hAnsi="Aptos"/>
                <w:b w:val="0"/>
                <w:sz w:val="15"/>
              </w:rPr>
              <w:t>Frontend</w:t>
            </w:r>
          </w:p>
        </w:tc>
        <w:tc>
          <w:tcPr>
            <w:tcW w:type="dxa" w:w="3168"/>
            <w:vAlign w:val="center"/>
          </w:tcPr>
          <w:p>
            <w:pPr>
              <w:spacing w:after="20"/>
            </w:pPr>
            <w:r/>
            <w:r>
              <w:rPr>
                <w:rFonts w:ascii="Aptos" w:hAnsi="Aptos"/>
                <w:b w:val="0"/>
                <w:sz w:val="15"/>
              </w:rPr>
              <w:t>React + Vite + TypeScript</w:t>
            </w:r>
          </w:p>
        </w:tc>
        <w:tc>
          <w:tcPr>
            <w:tcW w:type="dxa" w:w="4896"/>
            <w:vAlign w:val="center"/>
          </w:tcPr>
          <w:p>
            <w:pPr>
              <w:spacing w:after="20"/>
            </w:pPr>
            <w:r/>
            <w:r>
              <w:rPr>
                <w:rFonts w:ascii="Aptos" w:hAnsi="Aptos"/>
                <w:b w:val="0"/>
                <w:sz w:val="15"/>
              </w:rPr>
              <w:t>Responsive interface, dashboard, forms, review queues, accessibility and i18n. No duplicated business policy logic.</w:t>
            </w:r>
          </w:p>
        </w:tc>
      </w:tr>
      <w:tr>
        <w:trPr>
          <w:cantSplit/>
        </w:trPr>
        <w:tc>
          <w:tcPr>
            <w:tcW w:type="dxa" w:w="1872"/>
            <w:vAlign w:val="center"/>
            <w:shd w:fill="F4F7FA"/>
          </w:tcPr>
          <w:p>
            <w:pPr>
              <w:spacing w:after="20"/>
            </w:pPr>
            <w:r/>
            <w:r>
              <w:rPr>
                <w:rFonts w:ascii="Aptos" w:hAnsi="Aptos"/>
                <w:b w:val="0"/>
                <w:sz w:val="15"/>
              </w:rPr>
              <w:t>UI styling</w:t>
            </w:r>
          </w:p>
        </w:tc>
        <w:tc>
          <w:tcPr>
            <w:tcW w:type="dxa" w:w="3168"/>
            <w:vAlign w:val="center"/>
            <w:shd w:fill="F4F7FA"/>
          </w:tcPr>
          <w:p>
            <w:pPr>
              <w:spacing w:after="20"/>
            </w:pPr>
            <w:r/>
            <w:r>
              <w:rPr>
                <w:rFonts w:ascii="Aptos" w:hAnsi="Aptos"/>
                <w:b w:val="0"/>
                <w:sz w:val="15"/>
              </w:rPr>
              <w:t>Tailwind CSS plus one consistent accessible component library</w:t>
            </w:r>
          </w:p>
        </w:tc>
        <w:tc>
          <w:tcPr>
            <w:tcW w:type="dxa" w:w="4896"/>
            <w:vAlign w:val="center"/>
            <w:shd w:fill="F4F7FA"/>
          </w:tcPr>
          <w:p>
            <w:pPr>
              <w:spacing w:after="20"/>
            </w:pPr>
            <w:r/>
            <w:r>
              <w:rPr>
                <w:rFonts w:ascii="Aptos" w:hAnsi="Aptos"/>
                <w:b w:val="0"/>
                <w:sz w:val="15"/>
              </w:rPr>
              <w:t>Reusable components, consistent states, keyboard and screen-reader support.</w:t>
            </w:r>
          </w:p>
        </w:tc>
      </w:tr>
      <w:tr>
        <w:trPr>
          <w:cantSplit/>
        </w:trPr>
        <w:tc>
          <w:tcPr>
            <w:tcW w:type="dxa" w:w="1872"/>
            <w:vAlign w:val="center"/>
          </w:tcPr>
          <w:p>
            <w:pPr>
              <w:spacing w:after="20"/>
            </w:pPr>
            <w:r/>
            <w:r>
              <w:rPr>
                <w:rFonts w:ascii="Aptos" w:hAnsi="Aptos"/>
                <w:b w:val="0"/>
                <w:sz w:val="15"/>
              </w:rPr>
              <w:t>Backend API</w:t>
            </w:r>
          </w:p>
        </w:tc>
        <w:tc>
          <w:tcPr>
            <w:tcW w:type="dxa" w:w="3168"/>
            <w:vAlign w:val="center"/>
          </w:tcPr>
          <w:p>
            <w:pPr>
              <w:spacing w:after="20"/>
            </w:pPr>
            <w:r/>
            <w:r>
              <w:rPr>
                <w:rFonts w:ascii="Aptos" w:hAnsi="Aptos"/>
                <w:b w:val="0"/>
                <w:sz w:val="15"/>
              </w:rPr>
              <w:t>Python + FastAPI</w:t>
            </w:r>
          </w:p>
        </w:tc>
        <w:tc>
          <w:tcPr>
            <w:tcW w:type="dxa" w:w="4896"/>
            <w:vAlign w:val="center"/>
          </w:tcPr>
          <w:p>
            <w:pPr>
              <w:spacing w:after="20"/>
            </w:pPr>
            <w:r/>
            <w:r>
              <w:rPr>
                <w:rFonts w:ascii="Aptos" w:hAnsi="Aptos"/>
                <w:b w:val="0"/>
                <w:sz w:val="15"/>
              </w:rPr>
              <w:t>Authentication, typed request validation, RBAC, workflow enforcement, services and APIs.</w:t>
            </w:r>
          </w:p>
        </w:tc>
      </w:tr>
      <w:tr>
        <w:trPr>
          <w:cantSplit/>
        </w:trPr>
        <w:tc>
          <w:tcPr>
            <w:tcW w:type="dxa" w:w="1872"/>
            <w:vAlign w:val="center"/>
            <w:shd w:fill="F4F7FA"/>
          </w:tcPr>
          <w:p>
            <w:pPr>
              <w:spacing w:after="20"/>
            </w:pPr>
            <w:r/>
            <w:r>
              <w:rPr>
                <w:rFonts w:ascii="Aptos" w:hAnsi="Aptos"/>
                <w:b w:val="0"/>
                <w:sz w:val="15"/>
              </w:rPr>
              <w:t>Persistence</w:t>
            </w:r>
          </w:p>
        </w:tc>
        <w:tc>
          <w:tcPr>
            <w:tcW w:type="dxa" w:w="3168"/>
            <w:vAlign w:val="center"/>
            <w:shd w:fill="F4F7FA"/>
          </w:tcPr>
          <w:p>
            <w:pPr>
              <w:spacing w:after="20"/>
            </w:pPr>
            <w:r/>
            <w:r>
              <w:rPr>
                <w:rFonts w:ascii="Aptos" w:hAnsi="Aptos"/>
                <w:b w:val="0"/>
                <w:sz w:val="15"/>
              </w:rPr>
              <w:t>SQLAlchemy + SQLite for local prototype</w:t>
            </w:r>
          </w:p>
        </w:tc>
        <w:tc>
          <w:tcPr>
            <w:tcW w:type="dxa" w:w="4896"/>
            <w:vAlign w:val="center"/>
            <w:shd w:fill="F4F7FA"/>
          </w:tcPr>
          <w:p>
            <w:pPr>
              <w:spacing w:after="20"/>
            </w:pPr>
            <w:r/>
            <w:r>
              <w:rPr>
                <w:rFonts w:ascii="Aptos" w:hAnsi="Aptos"/>
                <w:b w:val="0"/>
                <w:sz w:val="15"/>
              </w:rPr>
              <w:t>Relational records and testable local setup; document schema evolution. Production database choice is a later deployment decision.</w:t>
            </w:r>
          </w:p>
        </w:tc>
      </w:tr>
      <w:tr>
        <w:trPr>
          <w:cantSplit/>
        </w:trPr>
        <w:tc>
          <w:tcPr>
            <w:tcW w:type="dxa" w:w="1872"/>
            <w:vAlign w:val="center"/>
          </w:tcPr>
          <w:p>
            <w:pPr>
              <w:spacing w:after="20"/>
            </w:pPr>
            <w:r/>
            <w:r>
              <w:rPr>
                <w:rFonts w:ascii="Aptos" w:hAnsi="Aptos"/>
                <w:b w:val="0"/>
                <w:sz w:val="15"/>
              </w:rPr>
              <w:t>Private file storage</w:t>
            </w:r>
          </w:p>
        </w:tc>
        <w:tc>
          <w:tcPr>
            <w:tcW w:type="dxa" w:w="3168"/>
            <w:vAlign w:val="center"/>
          </w:tcPr>
          <w:p>
            <w:pPr>
              <w:spacing w:after="20"/>
            </w:pPr>
            <w:r/>
            <w:r>
              <w:rPr>
                <w:rFonts w:ascii="Aptos" w:hAnsi="Aptos"/>
                <w:b w:val="0"/>
                <w:sz w:val="15"/>
              </w:rPr>
              <w:t>Local/private directory outside public static root for prototype</w:t>
            </w:r>
          </w:p>
        </w:tc>
        <w:tc>
          <w:tcPr>
            <w:tcW w:type="dxa" w:w="4896"/>
            <w:vAlign w:val="center"/>
          </w:tcPr>
          <w:p>
            <w:pPr>
              <w:spacing w:after="20"/>
            </w:pPr>
            <w:r/>
            <w:r>
              <w:rPr>
                <w:rFonts w:ascii="Aptos" w:hAnsi="Aptos"/>
                <w:b w:val="0"/>
                <w:sz w:val="15"/>
              </w:rPr>
              <w:t>Store uploads under generated IDs; serve only after authorization. Production storage requires separate hardening.</w:t>
            </w:r>
          </w:p>
        </w:tc>
      </w:tr>
      <w:tr>
        <w:trPr>
          <w:cantSplit/>
        </w:trPr>
        <w:tc>
          <w:tcPr>
            <w:tcW w:type="dxa" w:w="1872"/>
            <w:vAlign w:val="center"/>
            <w:shd w:fill="F4F7FA"/>
          </w:tcPr>
          <w:p>
            <w:pPr>
              <w:spacing w:after="20"/>
            </w:pPr>
            <w:r/>
            <w:r>
              <w:rPr>
                <w:rFonts w:ascii="Aptos" w:hAnsi="Aptos"/>
                <w:b w:val="0"/>
                <w:sz w:val="15"/>
              </w:rPr>
              <w:t>Integrity</w:t>
            </w:r>
          </w:p>
        </w:tc>
        <w:tc>
          <w:tcPr>
            <w:tcW w:type="dxa" w:w="3168"/>
            <w:vAlign w:val="center"/>
            <w:shd w:fill="F4F7FA"/>
          </w:tcPr>
          <w:p>
            <w:pPr>
              <w:spacing w:after="20"/>
            </w:pPr>
            <w:r/>
            <w:r>
              <w:rPr>
                <w:rFonts w:ascii="Aptos" w:hAnsi="Aptos"/>
                <w:b w:val="0"/>
                <w:sz w:val="15"/>
              </w:rPr>
              <w:t>Python hashlib SHA-256</w:t>
            </w:r>
          </w:p>
        </w:tc>
        <w:tc>
          <w:tcPr>
            <w:tcW w:type="dxa" w:w="4896"/>
            <w:vAlign w:val="center"/>
            <w:shd w:fill="F4F7FA"/>
          </w:tcPr>
          <w:p>
            <w:pPr>
              <w:spacing w:after="20"/>
            </w:pPr>
            <w:r/>
            <w:r>
              <w:rPr>
                <w:rFonts w:ascii="Aptos" w:hAnsi="Aptos"/>
                <w:b w:val="0"/>
                <w:sz w:val="15"/>
              </w:rPr>
              <w:t>Hash every version and verify stored content against recorded digest.</w:t>
            </w:r>
          </w:p>
        </w:tc>
      </w:tr>
      <w:tr>
        <w:trPr>
          <w:cantSplit/>
        </w:trPr>
        <w:tc>
          <w:tcPr>
            <w:tcW w:type="dxa" w:w="1872"/>
            <w:vAlign w:val="center"/>
          </w:tcPr>
          <w:p>
            <w:pPr>
              <w:spacing w:after="20"/>
            </w:pPr>
            <w:r/>
            <w:r>
              <w:rPr>
                <w:rFonts w:ascii="Aptos" w:hAnsi="Aptos"/>
                <w:b w:val="0"/>
                <w:sz w:val="15"/>
              </w:rPr>
              <w:t>PDF signatures</w:t>
            </w:r>
          </w:p>
        </w:tc>
        <w:tc>
          <w:tcPr>
            <w:tcW w:type="dxa" w:w="3168"/>
            <w:vAlign w:val="center"/>
          </w:tcPr>
          <w:p>
            <w:pPr>
              <w:spacing w:after="20"/>
            </w:pPr>
            <w:r/>
            <w:r>
              <w:rPr>
                <w:rFonts w:ascii="Aptos" w:hAnsi="Aptos"/>
                <w:b w:val="0"/>
                <w:sz w:val="15"/>
              </w:rPr>
              <w:t>pyHanko, conditional</w:t>
            </w:r>
          </w:p>
        </w:tc>
        <w:tc>
          <w:tcPr>
            <w:tcW w:type="dxa" w:w="4896"/>
            <w:vAlign w:val="center"/>
          </w:tcPr>
          <w:p>
            <w:pPr>
              <w:spacing w:after="20"/>
            </w:pPr>
            <w:r/>
            <w:r>
              <w:rPr>
                <w:rFonts w:ascii="Aptos" w:hAnsi="Aptos"/>
                <w:b w:val="0"/>
                <w:sz w:val="15"/>
              </w:rPr>
              <w:t>Validate supported PDF signatures under configured trust context; explicit failure/unavailable states.</w:t>
            </w:r>
          </w:p>
        </w:tc>
      </w:tr>
      <w:tr>
        <w:trPr>
          <w:cantSplit/>
        </w:trPr>
        <w:tc>
          <w:tcPr>
            <w:tcW w:type="dxa" w:w="1872"/>
            <w:vAlign w:val="center"/>
            <w:shd w:fill="F4F7FA"/>
          </w:tcPr>
          <w:p>
            <w:pPr>
              <w:spacing w:after="20"/>
            </w:pPr>
            <w:r/>
            <w:r>
              <w:rPr>
                <w:rFonts w:ascii="Aptos" w:hAnsi="Aptos"/>
                <w:b w:val="0"/>
                <w:sz w:val="15"/>
              </w:rPr>
              <w:t>OCR</w:t>
            </w:r>
          </w:p>
        </w:tc>
        <w:tc>
          <w:tcPr>
            <w:tcW w:type="dxa" w:w="3168"/>
            <w:vAlign w:val="center"/>
            <w:shd w:fill="F4F7FA"/>
          </w:tcPr>
          <w:p>
            <w:pPr>
              <w:spacing w:after="20"/>
            </w:pPr>
            <w:r/>
            <w:r>
              <w:rPr>
                <w:rFonts w:ascii="Aptos" w:hAnsi="Aptos"/>
                <w:b w:val="0"/>
                <w:sz w:val="15"/>
              </w:rPr>
              <w:t>Adapter interface; choose a lightweight engine after installation test</w:t>
            </w:r>
          </w:p>
        </w:tc>
        <w:tc>
          <w:tcPr>
            <w:tcW w:type="dxa" w:w="4896"/>
            <w:vAlign w:val="center"/>
            <w:shd w:fill="F4F7FA"/>
          </w:tcPr>
          <w:p>
            <w:pPr>
              <w:spacing w:after="20"/>
            </w:pPr>
            <w:r/>
            <w:r>
              <w:rPr>
                <w:rFonts w:ascii="Aptos" w:hAnsi="Aptos"/>
                <w:b w:val="0"/>
                <w:sz w:val="15"/>
              </w:rPr>
              <w:t>Field extraction, confidence/source location where supported, manual correction fallback.</w:t>
            </w:r>
          </w:p>
        </w:tc>
      </w:tr>
      <w:tr>
        <w:trPr>
          <w:cantSplit/>
        </w:trPr>
        <w:tc>
          <w:tcPr>
            <w:tcW w:type="dxa" w:w="1872"/>
            <w:vAlign w:val="center"/>
          </w:tcPr>
          <w:p>
            <w:pPr>
              <w:spacing w:after="20"/>
            </w:pPr>
            <w:r/>
            <w:r>
              <w:rPr>
                <w:rFonts w:ascii="Aptos" w:hAnsi="Aptos"/>
                <w:b w:val="0"/>
                <w:sz w:val="15"/>
              </w:rPr>
              <w:t>Background tasks</w:t>
            </w:r>
          </w:p>
        </w:tc>
        <w:tc>
          <w:tcPr>
            <w:tcW w:type="dxa" w:w="3168"/>
            <w:vAlign w:val="center"/>
          </w:tcPr>
          <w:p>
            <w:pPr>
              <w:spacing w:after="20"/>
            </w:pPr>
            <w:r/>
            <w:r>
              <w:rPr>
                <w:rFonts w:ascii="Aptos" w:hAnsi="Aptos"/>
                <w:b w:val="0"/>
                <w:sz w:val="15"/>
              </w:rPr>
              <w:t>Simple scheduler/background worker appropriate to prototype</w:t>
            </w:r>
          </w:p>
        </w:tc>
        <w:tc>
          <w:tcPr>
            <w:tcW w:type="dxa" w:w="4896"/>
            <w:vAlign w:val="center"/>
          </w:tcPr>
          <w:p>
            <w:pPr>
              <w:spacing w:after="20"/>
            </w:pPr>
            <w:r/>
            <w:r>
              <w:rPr>
                <w:rFonts w:ascii="Aptos" w:hAnsi="Aptos"/>
                <w:b w:val="0"/>
                <w:sz w:val="15"/>
              </w:rPr>
              <w:t>Maturity reminders, overdue checks, escalation and job error tracking.</w:t>
            </w:r>
          </w:p>
        </w:tc>
      </w:tr>
      <w:tr>
        <w:trPr>
          <w:cantSplit/>
        </w:trPr>
        <w:tc>
          <w:tcPr>
            <w:tcW w:type="dxa" w:w="1872"/>
            <w:vAlign w:val="center"/>
            <w:shd w:fill="F4F7FA"/>
          </w:tcPr>
          <w:p>
            <w:pPr>
              <w:spacing w:after="20"/>
            </w:pPr>
            <w:r/>
            <w:r>
              <w:rPr>
                <w:rFonts w:ascii="Aptos" w:hAnsi="Aptos"/>
                <w:b w:val="0"/>
                <w:sz w:val="15"/>
              </w:rPr>
              <w:t>Testing</w:t>
            </w:r>
          </w:p>
        </w:tc>
        <w:tc>
          <w:tcPr>
            <w:tcW w:type="dxa" w:w="3168"/>
            <w:vAlign w:val="center"/>
            <w:shd w:fill="F4F7FA"/>
          </w:tcPr>
          <w:p>
            <w:pPr>
              <w:spacing w:after="20"/>
            </w:pPr>
            <w:r/>
            <w:r>
              <w:rPr>
                <w:rFonts w:ascii="Aptos" w:hAnsi="Aptos"/>
                <w:b w:val="0"/>
                <w:sz w:val="15"/>
              </w:rPr>
              <w:t>pytest + HTTPX; frontend tests as practical</w:t>
            </w:r>
          </w:p>
        </w:tc>
        <w:tc>
          <w:tcPr>
            <w:tcW w:type="dxa" w:w="4896"/>
            <w:vAlign w:val="center"/>
            <w:shd w:fill="F4F7FA"/>
          </w:tcPr>
          <w:p>
            <w:pPr>
              <w:spacing w:after="20"/>
            </w:pPr>
            <w:r/>
            <w:r>
              <w:rPr>
                <w:rFonts w:ascii="Aptos" w:hAnsi="Aptos"/>
                <w:b w:val="0"/>
                <w:sz w:val="15"/>
              </w:rPr>
              <w:t>API, permissions, workflow, configuration, integrity, reminder and accessibility checks.</w:t>
            </w:r>
          </w:p>
        </w:tc>
      </w:tr>
      <w:tr>
        <w:trPr>
          <w:cantSplit/>
        </w:trPr>
        <w:tc>
          <w:tcPr>
            <w:tcW w:type="dxa" w:w="1872"/>
            <w:vAlign w:val="center"/>
          </w:tcPr>
          <w:p>
            <w:pPr>
              <w:spacing w:after="20"/>
            </w:pPr>
            <w:r/>
            <w:r>
              <w:rPr>
                <w:rFonts w:ascii="Aptos" w:hAnsi="Aptos"/>
                <w:b w:val="0"/>
                <w:sz w:val="15"/>
              </w:rPr>
              <w:t>Delivery</w:t>
            </w:r>
          </w:p>
        </w:tc>
        <w:tc>
          <w:tcPr>
            <w:tcW w:type="dxa" w:w="3168"/>
            <w:vAlign w:val="center"/>
          </w:tcPr>
          <w:p>
            <w:pPr>
              <w:spacing w:after="20"/>
            </w:pPr>
            <w:r/>
            <w:r>
              <w:rPr>
                <w:rFonts w:ascii="Aptos" w:hAnsi="Aptos"/>
                <w:b w:val="0"/>
                <w:sz w:val="15"/>
              </w:rPr>
              <w:t>Git/GitHub; .env.example</w:t>
            </w:r>
          </w:p>
        </w:tc>
        <w:tc>
          <w:tcPr>
            <w:tcW w:type="dxa" w:w="4896"/>
            <w:vAlign w:val="center"/>
          </w:tcPr>
          <w:p>
            <w:pPr>
              <w:spacing w:after="20"/>
            </w:pPr>
            <w:r/>
            <w:r>
              <w:rPr>
                <w:rFonts w:ascii="Aptos" w:hAnsi="Aptos"/>
                <w:b w:val="0"/>
                <w:sz w:val="15"/>
              </w:rPr>
              <w:t>Version control, repeatable setup, no secrets committed. Docker is not required for the local prototype.</w:t>
            </w:r>
          </w:p>
        </w:tc>
      </w:tr>
    </w:tbl>
    <w:p>
      <w:pPr>
        <w:spacing w:after="0"/>
      </w:pPr>
    </w:p>
    <w:p>
      <w:pPr>
        <w:pStyle w:val="Heading2"/>
      </w:pPr>
      <w:r>
        <w:t>8.2 Logical data flow</w:t>
      </w:r>
    </w:p>
    <w:tbl>
      <w:tblPr>
        <w:tblStyle w:val="TableGrid"/>
        <w:tblW w:type="auto" w:w="0"/>
        <w:tblLook w:firstColumn="1" w:firstRow="1" w:lastColumn="0" w:lastRow="0" w:noHBand="0" w:noVBand="1" w:val="04A0"/>
      </w:tblPr>
      <w:tblGrid>
        <w:gridCol w:w="10166"/>
      </w:tblGrid>
      <w:tr>
        <w:trPr>
          <w:cantSplit/>
        </w:trPr>
        <w:tc>
          <w:tcPr>
            <w:tcW w:type="dxa" w:w="10166"/>
            <w:shd w:fill="EAF1F7"/>
          </w:tcPr>
          <w:p>
            <w:pPr>
              <w:spacing w:after="40"/>
            </w:pPr>
            <w:r/>
            <w:r>
              <w:rPr>
                <w:b/>
                <w:color w:val="16324F"/>
                <w:sz w:val="20"/>
              </w:rPr>
              <w:t>Flow</w:t>
              <w:br/>
            </w:r>
            <w:r>
              <w:rPr>
                <w:sz w:val="18"/>
              </w:rPr>
              <w:t>React client → FastAPI authentication and permission checks → domain services (registry, documents, verification, lifecycle, workflow, audit, dossier) → SQLAlchemy/SQLite plus private file storage. OCR, PDF-signature and bank verification are adapters whose unavailability must be visible and handled safely.</w:t>
            </w:r>
          </w:p>
        </w:tc>
      </w:tr>
    </w:tbl>
    <w:p>
      <w:pPr>
        <w:spacing w:after="0"/>
      </w:pPr>
    </w:p>
    <w:p>
      <w:pPr>
        <w:pStyle w:val="Heading2"/>
      </w:pPr>
      <w:r>
        <w:t>8.3 Suggested domain entities</w:t>
      </w:r>
    </w:p>
    <w:tbl>
      <w:tblPr>
        <w:tblStyle w:val="TableGrid"/>
        <w:tblW w:type="auto" w:w="0"/>
        <w:jc w:val="center"/>
        <w:tblLook w:firstColumn="1" w:firstRow="1" w:lastColumn="0" w:lastRow="0" w:noHBand="0" w:noVBand="1" w:val="04A0"/>
      </w:tblPr>
      <w:tblGrid>
        <w:gridCol w:w="5083"/>
        <w:gridCol w:w="5083"/>
      </w:tblGrid>
      <w:tr>
        <w:trPr>
          <w:cantSplit/>
        </w:trPr>
        <w:tc>
          <w:tcPr>
            <w:tcW w:type="dxa" w:w="2520"/>
            <w:vAlign w:val="center"/>
            <w:shd w:fill="16324F"/>
          </w:tcPr>
          <w:p>
            <w:pPr>
              <w:spacing w:after="20"/>
            </w:pPr>
            <w:r/>
            <w:r>
              <w:rPr>
                <w:rFonts w:ascii="Aptos" w:hAnsi="Aptos"/>
                <w:b/>
                <w:color w:val="FFFFFF"/>
                <w:sz w:val="15"/>
              </w:rPr>
              <w:t>Entity</w:t>
            </w:r>
          </w:p>
        </w:tc>
        <w:tc>
          <w:tcPr>
            <w:tcW w:type="dxa" w:w="7416"/>
            <w:vAlign w:val="center"/>
            <w:shd w:fill="16324F"/>
          </w:tcPr>
          <w:p>
            <w:pPr>
              <w:spacing w:after="20"/>
            </w:pPr>
            <w:r/>
            <w:r>
              <w:rPr>
                <w:rFonts w:ascii="Aptos" w:hAnsi="Aptos"/>
                <w:b/>
                <w:color w:val="FFFFFF"/>
                <w:sz w:val="15"/>
              </w:rPr>
              <w:t>Key information</w:t>
            </w:r>
          </w:p>
        </w:tc>
      </w:tr>
      <w:tr>
        <w:trPr>
          <w:cantSplit/>
        </w:trPr>
        <w:tc>
          <w:tcPr>
            <w:tcW w:type="dxa" w:w="2520"/>
            <w:vAlign w:val="center"/>
          </w:tcPr>
          <w:p>
            <w:pPr>
              <w:spacing w:after="20"/>
            </w:pPr>
            <w:r/>
            <w:r>
              <w:rPr>
                <w:rFonts w:ascii="Aptos" w:hAnsi="Aptos"/>
                <w:b w:val="0"/>
                <w:sz w:val="15"/>
              </w:rPr>
              <w:t>Institution</w:t>
            </w:r>
          </w:p>
        </w:tc>
        <w:tc>
          <w:tcPr>
            <w:tcW w:type="dxa" w:w="7416"/>
            <w:vAlign w:val="center"/>
          </w:tcPr>
          <w:p>
            <w:pPr>
              <w:spacing w:after="20"/>
            </w:pPr>
            <w:r/>
            <w:r>
              <w:rPr>
                <w:rFonts w:ascii="Aptos" w:hAnsi="Aptos"/>
                <w:b w:val="0"/>
                <w:sz w:val="15"/>
              </w:rPr>
              <w:t>Institution ID, permitted metadata, tenant/security scope, active state.</w:t>
            </w:r>
          </w:p>
        </w:tc>
      </w:tr>
      <w:tr>
        <w:trPr>
          <w:cantSplit/>
        </w:trPr>
        <w:tc>
          <w:tcPr>
            <w:tcW w:type="dxa" w:w="2520"/>
            <w:vAlign w:val="center"/>
            <w:shd w:fill="F4F7FA"/>
          </w:tcPr>
          <w:p>
            <w:pPr>
              <w:spacing w:after="20"/>
            </w:pPr>
            <w:r/>
            <w:r>
              <w:rPr>
                <w:rFonts w:ascii="Aptos" w:hAnsi="Aptos"/>
                <w:b w:val="0"/>
                <w:sz w:val="15"/>
              </w:rPr>
              <w:t>User / Role / Permission</w:t>
            </w:r>
          </w:p>
        </w:tc>
        <w:tc>
          <w:tcPr>
            <w:tcW w:type="dxa" w:w="7416"/>
            <w:vAlign w:val="center"/>
            <w:shd w:fill="F4F7FA"/>
          </w:tcPr>
          <w:p>
            <w:pPr>
              <w:spacing w:after="20"/>
            </w:pPr>
            <w:r/>
            <w:r>
              <w:rPr>
                <w:rFonts w:ascii="Aptos" w:hAnsi="Aptos"/>
                <w:b w:val="0"/>
                <w:sz w:val="15"/>
              </w:rPr>
              <w:t>Identity, role assignments, institution scope, permission grants.</w:t>
            </w:r>
          </w:p>
        </w:tc>
      </w:tr>
      <w:tr>
        <w:trPr>
          <w:cantSplit/>
        </w:trPr>
        <w:tc>
          <w:tcPr>
            <w:tcW w:type="dxa" w:w="2520"/>
            <w:vAlign w:val="center"/>
          </w:tcPr>
          <w:p>
            <w:pPr>
              <w:spacing w:after="20"/>
            </w:pPr>
            <w:r/>
            <w:r>
              <w:rPr>
                <w:rFonts w:ascii="Aptos" w:hAnsi="Aptos"/>
                <w:b w:val="0"/>
                <w:sz w:val="15"/>
              </w:rPr>
              <w:t>FDR Instrument</w:t>
            </w:r>
          </w:p>
        </w:tc>
        <w:tc>
          <w:tcPr>
            <w:tcW w:type="dxa" w:w="7416"/>
            <w:vAlign w:val="center"/>
          </w:tcPr>
          <w:p>
            <w:pPr>
              <w:spacing w:after="20"/>
            </w:pPr>
            <w:r/>
            <w:r>
              <w:rPr>
                <w:rFonts w:ascii="Aptos" w:hAnsi="Aptos"/>
                <w:b w:val="0"/>
                <w:sz w:val="15"/>
              </w:rPr>
              <w:t>Instrument ID, institution, reference token, bank details as permitted, amount, issue/maturity dates, lifecycle state, prior/replacement links.</w:t>
            </w:r>
          </w:p>
        </w:tc>
      </w:tr>
      <w:tr>
        <w:trPr>
          <w:cantSplit/>
        </w:trPr>
        <w:tc>
          <w:tcPr>
            <w:tcW w:type="dxa" w:w="2520"/>
            <w:vAlign w:val="center"/>
            <w:shd w:fill="F4F7FA"/>
          </w:tcPr>
          <w:p>
            <w:pPr>
              <w:spacing w:after="20"/>
            </w:pPr>
            <w:r/>
            <w:r>
              <w:rPr>
                <w:rFonts w:ascii="Aptos" w:hAnsi="Aptos"/>
                <w:b w:val="0"/>
                <w:sz w:val="15"/>
              </w:rPr>
              <w:t>Document / DocumentVersion</w:t>
            </w:r>
          </w:p>
        </w:tc>
        <w:tc>
          <w:tcPr>
            <w:tcW w:type="dxa" w:w="7416"/>
            <w:vAlign w:val="center"/>
            <w:shd w:fill="F4F7FA"/>
          </w:tcPr>
          <w:p>
            <w:pPr>
              <w:spacing w:after="20"/>
            </w:pPr>
            <w:r/>
            <w:r>
              <w:rPr>
                <w:rFonts w:ascii="Aptos" w:hAnsi="Aptos"/>
                <w:b w:val="0"/>
                <w:sz w:val="15"/>
              </w:rPr>
              <w:t>FDR link, type, private storage key, hash, upload actor/time, version, content metadata, scan result.</w:t>
            </w:r>
          </w:p>
        </w:tc>
      </w:tr>
      <w:tr>
        <w:trPr>
          <w:cantSplit/>
        </w:trPr>
        <w:tc>
          <w:tcPr>
            <w:tcW w:type="dxa" w:w="2520"/>
            <w:vAlign w:val="center"/>
          </w:tcPr>
          <w:p>
            <w:pPr>
              <w:spacing w:after="20"/>
            </w:pPr>
            <w:r/>
            <w:r>
              <w:rPr>
                <w:rFonts w:ascii="Aptos" w:hAnsi="Aptos"/>
                <w:b w:val="0"/>
                <w:sz w:val="15"/>
              </w:rPr>
              <w:t>ExtractedField</w:t>
            </w:r>
          </w:p>
        </w:tc>
        <w:tc>
          <w:tcPr>
            <w:tcW w:type="dxa" w:w="7416"/>
            <w:vAlign w:val="center"/>
          </w:tcPr>
          <w:p>
            <w:pPr>
              <w:spacing w:after="20"/>
            </w:pPr>
            <w:r/>
            <w:r>
              <w:rPr>
                <w:rFonts w:ascii="Aptos" w:hAnsi="Aptos"/>
                <w:b w:val="0"/>
                <w:sz w:val="15"/>
              </w:rPr>
              <w:t>Document/version, field name, extracted value, confidence, source page/region, reviewer-corrected value and correction event.</w:t>
            </w:r>
          </w:p>
        </w:tc>
      </w:tr>
      <w:tr>
        <w:trPr>
          <w:cantSplit/>
        </w:trPr>
        <w:tc>
          <w:tcPr>
            <w:tcW w:type="dxa" w:w="2520"/>
            <w:vAlign w:val="center"/>
            <w:shd w:fill="F4F7FA"/>
          </w:tcPr>
          <w:p>
            <w:pPr>
              <w:spacing w:after="20"/>
            </w:pPr>
            <w:r/>
            <w:r>
              <w:rPr>
                <w:rFonts w:ascii="Aptos" w:hAnsi="Aptos"/>
                <w:b w:val="0"/>
                <w:sz w:val="15"/>
              </w:rPr>
              <w:t>Policy / Rule / Checklist</w:t>
            </w:r>
          </w:p>
        </w:tc>
        <w:tc>
          <w:tcPr>
            <w:tcW w:type="dxa" w:w="7416"/>
            <w:vAlign w:val="center"/>
            <w:shd w:fill="F4F7FA"/>
          </w:tcPr>
          <w:p>
            <w:pPr>
              <w:spacing w:after="20"/>
            </w:pPr>
            <w:r/>
            <w:r>
              <w:rPr>
                <w:rFonts w:ascii="Aptos" w:hAnsi="Aptos"/>
                <w:b w:val="0"/>
                <w:sz w:val="15"/>
              </w:rPr>
              <w:t>Stable ID, version, source reference, effective dates, enabled state, rule parameters, audit information.</w:t>
            </w:r>
          </w:p>
        </w:tc>
      </w:tr>
      <w:tr>
        <w:trPr>
          <w:cantSplit/>
        </w:trPr>
        <w:tc>
          <w:tcPr>
            <w:tcW w:type="dxa" w:w="2520"/>
            <w:vAlign w:val="center"/>
          </w:tcPr>
          <w:p>
            <w:pPr>
              <w:spacing w:after="20"/>
            </w:pPr>
            <w:r/>
            <w:r>
              <w:rPr>
                <w:rFonts w:ascii="Aptos" w:hAnsi="Aptos"/>
                <w:b w:val="0"/>
                <w:sz w:val="15"/>
              </w:rPr>
              <w:t>VerificationCheck</w:t>
            </w:r>
          </w:p>
        </w:tc>
        <w:tc>
          <w:tcPr>
            <w:tcW w:type="dxa" w:w="7416"/>
            <w:vAlign w:val="center"/>
          </w:tcPr>
          <w:p>
            <w:pPr>
              <w:spacing w:after="20"/>
            </w:pPr>
            <w:r/>
            <w:r>
              <w:rPr>
                <w:rFonts w:ascii="Aptos" w:hAnsi="Aptos"/>
                <w:b w:val="0"/>
                <w:sz w:val="15"/>
              </w:rPr>
              <w:t>Check type, outcome, inputs/evidence references, rule/software version, actor/time, limitation/reason.</w:t>
            </w:r>
          </w:p>
        </w:tc>
      </w:tr>
      <w:tr>
        <w:trPr>
          <w:cantSplit/>
        </w:trPr>
        <w:tc>
          <w:tcPr>
            <w:tcW w:type="dxa" w:w="2520"/>
            <w:vAlign w:val="center"/>
            <w:shd w:fill="F4F7FA"/>
          </w:tcPr>
          <w:p>
            <w:pPr>
              <w:spacing w:after="20"/>
            </w:pPr>
            <w:r/>
            <w:r>
              <w:rPr>
                <w:rFonts w:ascii="Aptos" w:hAnsi="Aptos"/>
                <w:b w:val="0"/>
                <w:sz w:val="15"/>
              </w:rPr>
              <w:t>BankVerificationRecord</w:t>
            </w:r>
          </w:p>
        </w:tc>
        <w:tc>
          <w:tcPr>
            <w:tcW w:type="dxa" w:w="7416"/>
            <w:vAlign w:val="center"/>
            <w:shd w:fill="F4F7FA"/>
          </w:tcPr>
          <w:p>
            <w:pPr>
              <w:spacing w:after="20"/>
            </w:pPr>
            <w:r/>
            <w:r>
              <w:rPr>
                <w:rFonts w:ascii="Aptos" w:hAnsi="Aptos"/>
                <w:b w:val="0"/>
                <w:sz w:val="15"/>
              </w:rPr>
              <w:t>Mode, provider/reference, evidence, outcome, timestamps, actor; simulated flag where applicable.</w:t>
            </w:r>
          </w:p>
        </w:tc>
      </w:tr>
      <w:tr>
        <w:trPr>
          <w:cantSplit/>
        </w:trPr>
        <w:tc>
          <w:tcPr>
            <w:tcW w:type="dxa" w:w="2520"/>
            <w:vAlign w:val="center"/>
          </w:tcPr>
          <w:p>
            <w:pPr>
              <w:spacing w:after="20"/>
            </w:pPr>
            <w:r/>
            <w:r>
              <w:rPr>
                <w:rFonts w:ascii="Aptos" w:hAnsi="Aptos"/>
                <w:b w:val="0"/>
                <w:sz w:val="15"/>
              </w:rPr>
              <w:t>WorkflowCase / WorkflowEvent</w:t>
            </w:r>
          </w:p>
        </w:tc>
        <w:tc>
          <w:tcPr>
            <w:tcW w:type="dxa" w:w="7416"/>
            <w:vAlign w:val="center"/>
          </w:tcPr>
          <w:p>
            <w:pPr>
              <w:spacing w:after="20"/>
            </w:pPr>
            <w:r/>
            <w:r>
              <w:rPr>
                <w:rFonts w:ascii="Aptos" w:hAnsi="Aptos"/>
                <w:b w:val="0"/>
                <w:sz w:val="15"/>
              </w:rPr>
              <w:t>Request type, current state, transition, actor, old/new state, reason, evidence, timestamps.</w:t>
            </w:r>
          </w:p>
        </w:tc>
      </w:tr>
      <w:tr>
        <w:trPr>
          <w:cantSplit/>
        </w:trPr>
        <w:tc>
          <w:tcPr>
            <w:tcW w:type="dxa" w:w="2520"/>
            <w:vAlign w:val="center"/>
            <w:shd w:fill="F4F7FA"/>
          </w:tcPr>
          <w:p>
            <w:pPr>
              <w:spacing w:after="20"/>
            </w:pPr>
            <w:r/>
            <w:r>
              <w:rPr>
                <w:rFonts w:ascii="Aptos" w:hAnsi="Aptos"/>
                <w:b w:val="0"/>
                <w:sz w:val="15"/>
              </w:rPr>
              <w:t>Deficiency / Task / Notification</w:t>
            </w:r>
          </w:p>
        </w:tc>
        <w:tc>
          <w:tcPr>
            <w:tcW w:type="dxa" w:w="7416"/>
            <w:vAlign w:val="center"/>
            <w:shd w:fill="F4F7FA"/>
          </w:tcPr>
          <w:p>
            <w:pPr>
              <w:spacing w:after="20"/>
            </w:pPr>
            <w:r/>
            <w:r>
              <w:rPr>
                <w:rFonts w:ascii="Aptos" w:hAnsi="Aptos"/>
                <w:b w:val="0"/>
                <w:sz w:val="15"/>
              </w:rPr>
              <w:t>Category, requested action, due date, assignee/recipient, state, delivery attempts and escalation history.</w:t>
            </w:r>
          </w:p>
        </w:tc>
      </w:tr>
      <w:tr>
        <w:trPr>
          <w:cantSplit/>
        </w:trPr>
        <w:tc>
          <w:tcPr>
            <w:tcW w:type="dxa" w:w="2520"/>
            <w:vAlign w:val="center"/>
          </w:tcPr>
          <w:p>
            <w:pPr>
              <w:spacing w:after="20"/>
            </w:pPr>
            <w:r/>
            <w:r>
              <w:rPr>
                <w:rFonts w:ascii="Aptos" w:hAnsi="Aptos"/>
                <w:b w:val="0"/>
                <w:sz w:val="15"/>
              </w:rPr>
              <w:t>AuditEvent</w:t>
            </w:r>
          </w:p>
        </w:tc>
        <w:tc>
          <w:tcPr>
            <w:tcW w:type="dxa" w:w="7416"/>
            <w:vAlign w:val="center"/>
          </w:tcPr>
          <w:p>
            <w:pPr>
              <w:spacing w:after="20"/>
            </w:pPr>
            <w:r/>
            <w:r>
              <w:rPr>
                <w:rFonts w:ascii="Aptos" w:hAnsi="Aptos"/>
                <w:b w:val="0"/>
                <w:sz w:val="15"/>
              </w:rPr>
              <w:t>Actor, event type, target, timestamp, before/after summary, reason, correlation/reference ID.</w:t>
            </w:r>
          </w:p>
        </w:tc>
      </w:tr>
      <w:tr>
        <w:trPr>
          <w:cantSplit/>
        </w:trPr>
        <w:tc>
          <w:tcPr>
            <w:tcW w:type="dxa" w:w="2520"/>
            <w:vAlign w:val="center"/>
            <w:shd w:fill="F4F7FA"/>
          </w:tcPr>
          <w:p>
            <w:pPr>
              <w:spacing w:after="20"/>
            </w:pPr>
            <w:r/>
            <w:r>
              <w:rPr>
                <w:rFonts w:ascii="Aptos" w:hAnsi="Aptos"/>
                <w:b w:val="0"/>
                <w:sz w:val="15"/>
              </w:rPr>
              <w:t>Dossier / ReportJob</w:t>
            </w:r>
          </w:p>
        </w:tc>
        <w:tc>
          <w:tcPr>
            <w:tcW w:type="dxa" w:w="7416"/>
            <w:vAlign w:val="center"/>
            <w:shd w:fill="F4F7FA"/>
          </w:tcPr>
          <w:p>
            <w:pPr>
              <w:spacing w:after="20"/>
            </w:pPr>
            <w:r/>
            <w:r>
              <w:rPr>
                <w:rFonts w:ascii="Aptos" w:hAnsi="Aptos"/>
                <w:b w:val="0"/>
                <w:sz w:val="15"/>
              </w:rPr>
              <w:t>Report request, generation time, included evidence/version references, generated artifact metadata.</w:t>
            </w:r>
          </w:p>
        </w:tc>
      </w:tr>
    </w:tbl>
    <w:p>
      <w:pPr>
        <w:spacing w:after="0"/>
      </w:pPr>
    </w:p>
    <w:p>
      <w:pPr>
        <w:pStyle w:val="Heading1"/>
      </w:pPr>
      <w:r>
        <w:t>9. Golden Rule #1 — business rules must not be hardcoded</w:t>
      </w:r>
    </w:p>
    <w:tbl>
      <w:tblPr>
        <w:tblStyle w:val="TableGrid"/>
        <w:tblW w:type="auto" w:w="0"/>
        <w:tblLook w:firstColumn="1" w:firstRow="1" w:lastColumn="0" w:lastRow="0" w:noHBand="0" w:noVBand="1" w:val="04A0"/>
      </w:tblPr>
      <w:tblGrid>
        <w:gridCol w:w="10166"/>
      </w:tblGrid>
      <w:tr>
        <w:trPr>
          <w:cantSplit/>
        </w:trPr>
        <w:tc>
          <w:tcPr>
            <w:tcW w:type="dxa" w:w="10166"/>
            <w:shd w:fill="FFF4D6"/>
          </w:tcPr>
          <w:p>
            <w:pPr>
              <w:spacing w:after="40"/>
            </w:pPr>
            <w:r/>
            <w:r>
              <w:rPr>
                <w:b/>
                <w:color w:val="16324F"/>
                <w:sz w:val="20"/>
              </w:rPr>
              <w:t>Non-negotiable project rule</w:t>
              <w:br/>
            </w:r>
            <w:r>
              <w:rPr>
                <w:sz w:val="18"/>
              </w:rPr>
              <w:t>Business requirements, workflow stages, document checklists, thresholds, statuses, reminder timing, institution-specific settings, bank-verification modes, OCR field mappings and role permissions must be data/configuration-driven wherever practical.</w:t>
            </w:r>
          </w:p>
        </w:tc>
      </w:tr>
    </w:tbl>
    <w:p>
      <w:pPr>
        <w:spacing w:after="0"/>
      </w:pPr>
    </w:p>
    <w:p>
      <w:pPr>
        <w:pStyle w:val="ListBullet"/>
        <w:spacing w:after="40"/>
      </w:pPr>
      <w:r>
        <w:t>Store rules in validated database-backed configuration or versioned configuration files with stable IDs, version, effective date, source reference and enabled/disabled state.</w:t>
      </w:r>
    </w:p>
    <w:p>
      <w:pPr>
        <w:pStyle w:val="ListBullet"/>
        <w:spacing w:after="40"/>
      </w:pPr>
      <w:r>
        <w:t>Keep institution, bank, FDR, document and KPI data in the database; never embed demo records or counts in the frontend.</w:t>
      </w:r>
    </w:p>
    <w:p>
      <w:pPr>
        <w:pStyle w:val="ListBullet"/>
        <w:spacing w:after="40"/>
      </w:pPr>
      <w:r>
        <w:t>Centralise workflow transitions and permission checks on the backend.</w:t>
      </w:r>
    </w:p>
    <w:p>
      <w:pPr>
        <w:pStyle w:val="ListBullet"/>
        <w:spacing w:after="40"/>
      </w:pPr>
      <w:r>
        <w:t>Every configuration change must be authorised, validated, audited and associated with the rule version used for a check.</w:t>
      </w:r>
    </w:p>
    <w:p>
      <w:pPr>
        <w:pStyle w:val="ListBullet"/>
        <w:spacing w:after="40"/>
      </w:pPr>
      <w:r>
        <w:t>Provide safe failure states when a required configuration is missing or invalid; never invent a policy default silently.</w:t>
      </w:r>
    </w:p>
    <w:p>
      <w:pPr>
        <w:pStyle w:val="ListBullet"/>
        <w:spacing w:after="40"/>
      </w:pPr>
      <w:r>
        <w:t>Add a test for every configurable rule proving that changing the configuration changes behaviour without editing source code.</w:t>
      </w:r>
    </w:p>
    <w:p>
      <w:pPr>
        <w:pStyle w:val="ListBullet"/>
        <w:spacing w:after="40"/>
      </w:pPr>
      <w:r>
        <w:t>Technical invariants such as use of SHA-256, secure coding constraints and database integrity constraints may remain in code when appropriate.</w:t>
      </w:r>
    </w:p>
    <w:p>
      <w:pPr>
        <w:pStyle w:val="Heading2"/>
      </w:pPr>
      <w:r>
        <w:t>Configuration test example</w:t>
      </w:r>
    </w:p>
    <w:p>
      <w:r>
        <w:t>If the reminder window is configured as 30 days, an instrument 20 days from maturity should be flagged according to that rule. Change the configured window to 15 days without changing source code; the same instrument should no longer be in the 30-day reminder band. The test should verify both outcomes and record the rule version.</w:t>
      </w:r>
    </w:p>
    <w:p>
      <w:pPr>
        <w:pStyle w:val="Heading1"/>
      </w:pPr>
      <w:r>
        <w:t>10. Security, privacy and responsible verification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vAlign w:val="center"/>
            <w:shd w:fill="16324F"/>
          </w:tcPr>
          <w:p>
            <w:pPr>
              <w:spacing w:after="20"/>
            </w:pPr>
            <w:r/>
            <w:r>
              <w:rPr>
                <w:rFonts w:ascii="Aptos" w:hAnsi="Aptos"/>
                <w:b/>
                <w:color w:val="FFFFFF"/>
                <w:sz w:val="15"/>
              </w:rPr>
              <w:t>Control</w:t>
            </w:r>
          </w:p>
        </w:tc>
        <w:tc>
          <w:tcPr>
            <w:tcW w:type="dxa" w:w="7704"/>
            <w:vAlign w:val="center"/>
            <w:shd w:fill="16324F"/>
          </w:tcPr>
          <w:p>
            <w:pPr>
              <w:spacing w:after="20"/>
            </w:pPr>
            <w:r/>
            <w:r>
              <w:rPr>
                <w:rFonts w:ascii="Aptos" w:hAnsi="Aptos"/>
                <w:b/>
                <w:color w:val="FFFFFF"/>
                <w:sz w:val="15"/>
              </w:rPr>
              <w:t>Implementation requirement</w:t>
            </w:r>
          </w:p>
        </w:tc>
      </w:tr>
      <w:tr>
        <w:trPr>
          <w:cantSplit/>
        </w:trPr>
        <w:tc>
          <w:tcPr>
            <w:tcW w:type="dxa" w:w="2232"/>
            <w:vAlign w:val="center"/>
          </w:tcPr>
          <w:p>
            <w:pPr>
              <w:spacing w:after="20"/>
            </w:pPr>
            <w:r/>
            <w:r>
              <w:rPr>
                <w:rFonts w:ascii="Aptos" w:hAnsi="Aptos"/>
                <w:b w:val="0"/>
                <w:sz w:val="15"/>
              </w:rPr>
              <w:t>Authentication &amp; authorization</w:t>
            </w:r>
          </w:p>
        </w:tc>
        <w:tc>
          <w:tcPr>
            <w:tcW w:type="dxa" w:w="7704"/>
            <w:vAlign w:val="center"/>
          </w:tcPr>
          <w:p>
            <w:pPr>
              <w:spacing w:after="20"/>
            </w:pPr>
            <w:r/>
            <w:r>
              <w:rPr>
                <w:rFonts w:ascii="Aptos" w:hAnsi="Aptos"/>
                <w:b w:val="0"/>
                <w:sz w:val="15"/>
              </w:rPr>
              <w:t>Strong password handling/session protection appropriate to the prototype; backend RBAC; tenant isolation on every query and file endpoint; separation of duties.</w:t>
            </w:r>
          </w:p>
        </w:tc>
      </w:tr>
      <w:tr>
        <w:trPr>
          <w:cantSplit/>
        </w:trPr>
        <w:tc>
          <w:tcPr>
            <w:tcW w:type="dxa" w:w="2232"/>
            <w:vAlign w:val="center"/>
            <w:shd w:fill="F4F7FA"/>
          </w:tcPr>
          <w:p>
            <w:pPr>
              <w:spacing w:after="20"/>
            </w:pPr>
            <w:r/>
            <w:r>
              <w:rPr>
                <w:rFonts w:ascii="Aptos" w:hAnsi="Aptos"/>
                <w:b w:val="0"/>
                <w:sz w:val="15"/>
              </w:rPr>
              <w:t>Upload safety</w:t>
            </w:r>
          </w:p>
        </w:tc>
        <w:tc>
          <w:tcPr>
            <w:tcW w:type="dxa" w:w="7704"/>
            <w:vAlign w:val="center"/>
            <w:shd w:fill="F4F7FA"/>
          </w:tcPr>
          <w:p>
            <w:pPr>
              <w:spacing w:after="20"/>
            </w:pPr>
            <w:r/>
            <w:r>
              <w:rPr>
                <w:rFonts w:ascii="Aptos" w:hAnsi="Aptos"/>
                <w:b w:val="0"/>
                <w:sz w:val="15"/>
              </w:rPr>
              <w:t>Allowlisted formats, file size limits, actual file-type/content checks, generated filenames, safe parsing, private storage, authorization checks and error handling.</w:t>
            </w:r>
          </w:p>
        </w:tc>
      </w:tr>
      <w:tr>
        <w:trPr>
          <w:cantSplit/>
        </w:trPr>
        <w:tc>
          <w:tcPr>
            <w:tcW w:type="dxa" w:w="2232"/>
            <w:vAlign w:val="center"/>
          </w:tcPr>
          <w:p>
            <w:pPr>
              <w:spacing w:after="20"/>
            </w:pPr>
            <w:r/>
            <w:r>
              <w:rPr>
                <w:rFonts w:ascii="Aptos" w:hAnsi="Aptos"/>
                <w:b w:val="0"/>
                <w:sz w:val="15"/>
              </w:rPr>
              <w:t>Transport/storage</w:t>
            </w:r>
          </w:p>
        </w:tc>
        <w:tc>
          <w:tcPr>
            <w:tcW w:type="dxa" w:w="7704"/>
            <w:vAlign w:val="center"/>
          </w:tcPr>
          <w:p>
            <w:pPr>
              <w:spacing w:after="20"/>
            </w:pPr>
            <w:r/>
            <w:r>
              <w:rPr>
                <w:rFonts w:ascii="Aptos" w:hAnsi="Aptos"/>
                <w:b w:val="0"/>
                <w:sz w:val="15"/>
              </w:rPr>
              <w:t>Use HTTPS in deployment; protect local files and database; document encryption-at-rest plan for production; do not claim encryption without configuring and testing it.</w:t>
            </w:r>
          </w:p>
        </w:tc>
      </w:tr>
      <w:tr>
        <w:trPr>
          <w:cantSplit/>
        </w:trPr>
        <w:tc>
          <w:tcPr>
            <w:tcW w:type="dxa" w:w="2232"/>
            <w:vAlign w:val="center"/>
            <w:shd w:fill="F4F7FA"/>
          </w:tcPr>
          <w:p>
            <w:pPr>
              <w:spacing w:after="20"/>
            </w:pPr>
            <w:r/>
            <w:r>
              <w:rPr>
                <w:rFonts w:ascii="Aptos" w:hAnsi="Aptos"/>
                <w:b w:val="0"/>
                <w:sz w:val="15"/>
              </w:rPr>
              <w:t>Secrets</w:t>
            </w:r>
          </w:p>
        </w:tc>
        <w:tc>
          <w:tcPr>
            <w:tcW w:type="dxa" w:w="7704"/>
            <w:vAlign w:val="center"/>
            <w:shd w:fill="F4F7FA"/>
          </w:tcPr>
          <w:p>
            <w:pPr>
              <w:spacing w:after="20"/>
            </w:pPr>
            <w:r/>
            <w:r>
              <w:rPr>
                <w:rFonts w:ascii="Aptos" w:hAnsi="Aptos"/>
                <w:b w:val="0"/>
                <w:sz w:val="15"/>
              </w:rPr>
              <w:t>Environment variables and .env.example; .env, tokens, private keys and credentials excluded from Git.</w:t>
            </w:r>
          </w:p>
        </w:tc>
      </w:tr>
      <w:tr>
        <w:trPr>
          <w:cantSplit/>
        </w:trPr>
        <w:tc>
          <w:tcPr>
            <w:tcW w:type="dxa" w:w="2232"/>
            <w:vAlign w:val="center"/>
          </w:tcPr>
          <w:p>
            <w:pPr>
              <w:spacing w:after="20"/>
            </w:pPr>
            <w:r/>
            <w:r>
              <w:rPr>
                <w:rFonts w:ascii="Aptos" w:hAnsi="Aptos"/>
                <w:b w:val="0"/>
                <w:sz w:val="15"/>
              </w:rPr>
              <w:t>Audit/logging</w:t>
            </w:r>
          </w:p>
        </w:tc>
        <w:tc>
          <w:tcPr>
            <w:tcW w:type="dxa" w:w="7704"/>
            <w:vAlign w:val="center"/>
          </w:tcPr>
          <w:p>
            <w:pPr>
              <w:spacing w:after="20"/>
            </w:pPr>
            <w:r/>
            <w:r>
              <w:rPr>
                <w:rFonts w:ascii="Aptos" w:hAnsi="Aptos"/>
                <w:b w:val="0"/>
                <w:sz w:val="15"/>
              </w:rPr>
              <w:t>Record security-relevant actions and workflow changes; restrict log access; do not log passwords, tokens, private keys or unnecessary sensitive document contents.</w:t>
            </w:r>
          </w:p>
        </w:tc>
      </w:tr>
      <w:tr>
        <w:trPr>
          <w:cantSplit/>
        </w:trPr>
        <w:tc>
          <w:tcPr>
            <w:tcW w:type="dxa" w:w="2232"/>
            <w:vAlign w:val="center"/>
            <w:shd w:fill="F4F7FA"/>
          </w:tcPr>
          <w:p>
            <w:pPr>
              <w:spacing w:after="20"/>
            </w:pPr>
            <w:r/>
            <w:r>
              <w:rPr>
                <w:rFonts w:ascii="Aptos" w:hAnsi="Aptos"/>
                <w:b w:val="0"/>
                <w:sz w:val="15"/>
              </w:rPr>
              <w:t>Data minimisation</w:t>
            </w:r>
          </w:p>
        </w:tc>
        <w:tc>
          <w:tcPr>
            <w:tcW w:type="dxa" w:w="7704"/>
            <w:vAlign w:val="center"/>
            <w:shd w:fill="F4F7FA"/>
          </w:tcPr>
          <w:p>
            <w:pPr>
              <w:spacing w:after="20"/>
            </w:pPr>
            <w:r/>
            <w:r>
              <w:rPr>
                <w:rFonts w:ascii="Aptos" w:hAnsi="Aptos"/>
                <w:b w:val="0"/>
                <w:sz w:val="15"/>
              </w:rPr>
              <w:t>Use synthetic data; avoid real institution/person records unless permission and governance are in place; restrict report exports and retain only needed fields.</w:t>
            </w:r>
          </w:p>
        </w:tc>
      </w:tr>
      <w:tr>
        <w:trPr>
          <w:cantSplit/>
        </w:trPr>
        <w:tc>
          <w:tcPr>
            <w:tcW w:type="dxa" w:w="2232"/>
            <w:vAlign w:val="center"/>
          </w:tcPr>
          <w:p>
            <w:pPr>
              <w:spacing w:after="20"/>
            </w:pPr>
            <w:r/>
            <w:r>
              <w:rPr>
                <w:rFonts w:ascii="Aptos" w:hAnsi="Aptos"/>
                <w:b w:val="0"/>
                <w:sz w:val="15"/>
              </w:rPr>
              <w:t>Hashing</w:t>
            </w:r>
          </w:p>
        </w:tc>
        <w:tc>
          <w:tcPr>
            <w:tcW w:type="dxa" w:w="7704"/>
            <w:vAlign w:val="center"/>
          </w:tcPr>
          <w:p>
            <w:pPr>
              <w:spacing w:after="20"/>
            </w:pPr>
            <w:r/>
            <w:r>
              <w:rPr>
                <w:rFonts w:ascii="Aptos" w:hAnsi="Aptos"/>
                <w:b w:val="0"/>
                <w:sz w:val="15"/>
              </w:rPr>
              <w:t>SHA-256 detects changes relative to the stored digest; it does not establish who created a file or prove that the original was genuine.</w:t>
            </w:r>
          </w:p>
        </w:tc>
      </w:tr>
      <w:tr>
        <w:trPr>
          <w:cantSplit/>
        </w:trPr>
        <w:tc>
          <w:tcPr>
            <w:tcW w:type="dxa" w:w="2232"/>
            <w:vAlign w:val="center"/>
            <w:shd w:fill="F4F7FA"/>
          </w:tcPr>
          <w:p>
            <w:pPr>
              <w:spacing w:after="20"/>
            </w:pPr>
            <w:r/>
            <w:r>
              <w:rPr>
                <w:rFonts w:ascii="Aptos" w:hAnsi="Aptos"/>
                <w:b w:val="0"/>
                <w:sz w:val="15"/>
              </w:rPr>
              <w:t>PDF signature</w:t>
            </w:r>
          </w:p>
        </w:tc>
        <w:tc>
          <w:tcPr>
            <w:tcW w:type="dxa" w:w="7704"/>
            <w:vAlign w:val="center"/>
            <w:shd w:fill="F4F7FA"/>
          </w:tcPr>
          <w:p>
            <w:pPr>
              <w:spacing w:after="20"/>
            </w:pPr>
            <w:r/>
            <w:r>
              <w:rPr>
                <w:rFonts w:ascii="Aptos" w:hAnsi="Aptos"/>
                <w:b w:val="0"/>
                <w:sz w:val="15"/>
              </w:rPr>
              <w:t>Report validation context and trust limitations; unsigned is not automatically fraudulent; valid signature does not prove bank-held deposit.</w:t>
            </w:r>
          </w:p>
        </w:tc>
      </w:tr>
      <w:tr>
        <w:trPr>
          <w:cantSplit/>
        </w:trPr>
        <w:tc>
          <w:tcPr>
            <w:tcW w:type="dxa" w:w="2232"/>
            <w:vAlign w:val="center"/>
          </w:tcPr>
          <w:p>
            <w:pPr>
              <w:spacing w:after="20"/>
            </w:pPr>
            <w:r/>
            <w:r>
              <w:rPr>
                <w:rFonts w:ascii="Aptos" w:hAnsi="Aptos"/>
                <w:b w:val="0"/>
                <w:sz w:val="15"/>
              </w:rPr>
              <w:t>OCR and anomaly flags</w:t>
            </w:r>
          </w:p>
        </w:tc>
        <w:tc>
          <w:tcPr>
            <w:tcW w:type="dxa" w:w="7704"/>
            <w:vAlign w:val="center"/>
          </w:tcPr>
          <w:p>
            <w:pPr>
              <w:spacing w:after="20"/>
            </w:pPr>
            <w:r/>
            <w:r>
              <w:rPr>
                <w:rFonts w:ascii="Aptos" w:hAnsi="Aptos"/>
                <w:b w:val="0"/>
                <w:sz w:val="15"/>
              </w:rPr>
              <w:t>Expose confidence and source evidence; allow correction; never treat low confidence, mismatch or similarity alone as proof of fraud.</w:t>
            </w:r>
          </w:p>
        </w:tc>
      </w:tr>
      <w:tr>
        <w:trPr>
          <w:cantSplit/>
        </w:trPr>
        <w:tc>
          <w:tcPr>
            <w:tcW w:type="dxa" w:w="2232"/>
            <w:vAlign w:val="center"/>
            <w:shd w:fill="F4F7FA"/>
          </w:tcPr>
          <w:p>
            <w:pPr>
              <w:spacing w:after="20"/>
            </w:pPr>
            <w:r/>
            <w:r>
              <w:rPr>
                <w:rFonts w:ascii="Aptos" w:hAnsi="Aptos"/>
                <w:b w:val="0"/>
                <w:sz w:val="15"/>
              </w:rPr>
              <w:t>Bank verification</w:t>
            </w:r>
          </w:p>
        </w:tc>
        <w:tc>
          <w:tcPr>
            <w:tcW w:type="dxa" w:w="7704"/>
            <w:vAlign w:val="center"/>
            <w:shd w:fill="F4F7FA"/>
          </w:tcPr>
          <w:p>
            <w:pPr>
              <w:spacing w:after="20"/>
            </w:pPr>
            <w:r/>
            <w:r>
              <w:rPr>
                <w:rFonts w:ascii="Aptos" w:hAnsi="Aptos"/>
                <w:b w:val="0"/>
                <w:sz w:val="15"/>
              </w:rPr>
              <w:t>Separate submitted details from independently confirmed results; manual/simulated/live modes must be explicit.</w:t>
            </w:r>
          </w:p>
        </w:tc>
      </w:tr>
      <w:tr>
        <w:trPr>
          <w:cantSplit/>
        </w:trPr>
        <w:tc>
          <w:tcPr>
            <w:tcW w:type="dxa" w:w="2232"/>
            <w:vAlign w:val="center"/>
          </w:tcPr>
          <w:p>
            <w:pPr>
              <w:spacing w:after="20"/>
            </w:pPr>
            <w:r/>
            <w:r>
              <w:rPr>
                <w:rFonts w:ascii="Aptos" w:hAnsi="Aptos"/>
                <w:b w:val="0"/>
                <w:sz w:val="15"/>
              </w:rPr>
              <w:t>Human oversight</w:t>
            </w:r>
          </w:p>
        </w:tc>
        <w:tc>
          <w:tcPr>
            <w:tcW w:type="dxa" w:w="7704"/>
            <w:vAlign w:val="center"/>
          </w:tcPr>
          <w:p>
            <w:pPr>
              <w:spacing w:after="20"/>
            </w:pPr>
            <w:r/>
            <w:r>
              <w:rPr>
                <w:rFonts w:ascii="Aptos" w:hAnsi="Aptos"/>
                <w:b w:val="0"/>
                <w:sz w:val="15"/>
              </w:rPr>
              <w:t>No automatic release/refund; authorised human decision and required clearances remain mandatory.</w:t>
            </w:r>
          </w:p>
        </w:tc>
      </w:tr>
      <w:tr>
        <w:trPr>
          <w:cantSplit/>
        </w:trPr>
        <w:tc>
          <w:tcPr>
            <w:tcW w:type="dxa" w:w="2232"/>
            <w:vAlign w:val="center"/>
            <w:shd w:fill="F4F7FA"/>
          </w:tcPr>
          <w:p>
            <w:pPr>
              <w:spacing w:after="20"/>
            </w:pPr>
            <w:r/>
            <w:r>
              <w:rPr>
                <w:rFonts w:ascii="Aptos" w:hAnsi="Aptos"/>
                <w:b w:val="0"/>
                <w:sz w:val="15"/>
              </w:rPr>
              <w:t>Legal/policy review</w:t>
            </w:r>
          </w:p>
        </w:tc>
        <w:tc>
          <w:tcPr>
            <w:tcW w:type="dxa" w:w="7704"/>
            <w:vAlign w:val="center"/>
            <w:shd w:fill="F4F7FA"/>
          </w:tcPr>
          <w:p>
            <w:pPr>
              <w:spacing w:after="20"/>
            </w:pPr>
            <w:r/>
            <w:r>
              <w:rPr>
                <w:rFonts w:ascii="Aptos" w:hAnsi="Aptos"/>
                <w:b w:val="0"/>
                <w:sz w:val="15"/>
              </w:rPr>
              <w:t>Verify current applicable AICTE handbook, notifications and privacy requirements before deployment. This prototype document is not legal advice.</w:t>
            </w:r>
          </w:p>
        </w:tc>
      </w:tr>
    </w:tbl>
    <w:p>
      <w:pPr>
        <w:spacing w:after="0"/>
      </w:pPr>
    </w:p>
    <w:p>
      <w:pPr>
        <w:pStyle w:val="Heading1"/>
      </w:pPr>
      <w:r>
        <w:t>11. Feasibility and viability assessment</w:t>
      </w:r>
    </w:p>
    <w:p>
      <w:pPr>
        <w:pStyle w:val="Heading2"/>
      </w:pPr>
      <w:r>
        <w:t>11.1 Technical feasibility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448"/>
            <w:vAlign w:val="center"/>
            <w:shd w:fill="16324F"/>
          </w:tcPr>
          <w:p>
            <w:pPr>
              <w:spacing w:after="20"/>
            </w:pPr>
            <w:r/>
            <w:r>
              <w:rPr>
                <w:rFonts w:ascii="Aptos" w:hAnsi="Aptos"/>
                <w:b/>
                <w:color w:val="FFFFFF"/>
                <w:sz w:val="15"/>
              </w:rPr>
              <w:t>Area</w:t>
            </w:r>
          </w:p>
        </w:tc>
        <w:tc>
          <w:tcPr>
            <w:tcW w:type="dxa" w:w="1728"/>
            <w:vAlign w:val="center"/>
            <w:shd w:fill="16324F"/>
          </w:tcPr>
          <w:p>
            <w:pPr>
              <w:spacing w:after="20"/>
            </w:pPr>
            <w:r/>
            <w:r>
              <w:rPr>
                <w:rFonts w:ascii="Aptos" w:hAnsi="Aptos"/>
                <w:b/>
                <w:color w:val="FFFFFF"/>
                <w:sz w:val="15"/>
              </w:rPr>
              <w:t>Feasibility</w:t>
            </w:r>
          </w:p>
        </w:tc>
        <w:tc>
          <w:tcPr>
            <w:tcW w:type="dxa" w:w="5760"/>
            <w:vAlign w:val="center"/>
            <w:shd w:fill="16324F"/>
          </w:tcPr>
          <w:p>
            <w:pPr>
              <w:spacing w:after="20"/>
            </w:pPr>
            <w:r/>
            <w:r>
              <w:rPr>
                <w:rFonts w:ascii="Aptos" w:hAnsi="Aptos"/>
                <w:b/>
                <w:color w:val="FFFFFF"/>
                <w:sz w:val="15"/>
              </w:rPr>
              <w:t>Reason / constraint</w:t>
            </w:r>
          </w:p>
        </w:tc>
      </w:tr>
      <w:tr>
        <w:trPr>
          <w:cantSplit/>
        </w:trPr>
        <w:tc>
          <w:tcPr>
            <w:tcW w:type="dxa" w:w="2448"/>
            <w:vAlign w:val="center"/>
          </w:tcPr>
          <w:p>
            <w:pPr>
              <w:spacing w:after="20"/>
            </w:pPr>
            <w:r/>
            <w:r>
              <w:rPr>
                <w:rFonts w:ascii="Aptos" w:hAnsi="Aptos"/>
                <w:b w:val="0"/>
                <w:sz w:val="15"/>
              </w:rPr>
              <w:t>Registry, CRUD, search and dashboard</w:t>
            </w:r>
          </w:p>
        </w:tc>
        <w:tc>
          <w:tcPr>
            <w:tcW w:type="dxa" w:w="1728"/>
            <w:vAlign w:val="center"/>
          </w:tcPr>
          <w:p>
            <w:pPr>
              <w:spacing w:after="20"/>
            </w:pPr>
            <w:r/>
            <w:r>
              <w:rPr>
                <w:rFonts w:ascii="Aptos" w:hAnsi="Aptos"/>
                <w:b w:val="0"/>
                <w:sz w:val="15"/>
              </w:rPr>
              <w:t>High</w:t>
            </w:r>
          </w:p>
        </w:tc>
        <w:tc>
          <w:tcPr>
            <w:tcW w:type="dxa" w:w="5760"/>
            <w:vAlign w:val="center"/>
          </w:tcPr>
          <w:p>
            <w:pPr>
              <w:spacing w:after="20"/>
            </w:pPr>
            <w:r/>
            <w:r>
              <w:rPr>
                <w:rFonts w:ascii="Aptos" w:hAnsi="Aptos"/>
                <w:b w:val="0"/>
                <w:sz w:val="15"/>
              </w:rPr>
              <w:t>Standard web application capabilities; use FastAPI, SQLAlchemy and SQLite.</w:t>
            </w:r>
          </w:p>
        </w:tc>
      </w:tr>
      <w:tr>
        <w:trPr>
          <w:cantSplit/>
        </w:trPr>
        <w:tc>
          <w:tcPr>
            <w:tcW w:type="dxa" w:w="2448"/>
            <w:vAlign w:val="center"/>
            <w:shd w:fill="F4F7FA"/>
          </w:tcPr>
          <w:p>
            <w:pPr>
              <w:spacing w:after="20"/>
            </w:pPr>
            <w:r/>
            <w:r>
              <w:rPr>
                <w:rFonts w:ascii="Aptos" w:hAnsi="Aptos"/>
                <w:b w:val="0"/>
                <w:sz w:val="15"/>
              </w:rPr>
              <w:t>Configurable checklists/workflows</w:t>
            </w:r>
          </w:p>
        </w:tc>
        <w:tc>
          <w:tcPr>
            <w:tcW w:type="dxa" w:w="1728"/>
            <w:vAlign w:val="center"/>
            <w:shd w:fill="F4F7FA"/>
          </w:tcPr>
          <w:p>
            <w:pPr>
              <w:spacing w:after="20"/>
            </w:pPr>
            <w:r/>
            <w:r>
              <w:rPr>
                <w:rFonts w:ascii="Aptos" w:hAnsi="Aptos"/>
                <w:b w:val="0"/>
                <w:sz w:val="15"/>
              </w:rPr>
              <w:t>High</w:t>
            </w:r>
          </w:p>
        </w:tc>
        <w:tc>
          <w:tcPr>
            <w:tcW w:type="dxa" w:w="5760"/>
            <w:vAlign w:val="center"/>
            <w:shd w:fill="F4F7FA"/>
          </w:tcPr>
          <w:p>
            <w:pPr>
              <w:spacing w:after="20"/>
            </w:pPr>
            <w:r/>
            <w:r>
              <w:rPr>
                <w:rFonts w:ascii="Aptos" w:hAnsi="Aptos"/>
                <w:b w:val="0"/>
                <w:sz w:val="15"/>
              </w:rPr>
              <w:t>Database-backed rules and explicit transition service; requires careful tests.</w:t>
            </w:r>
          </w:p>
        </w:tc>
      </w:tr>
      <w:tr>
        <w:trPr>
          <w:cantSplit/>
        </w:trPr>
        <w:tc>
          <w:tcPr>
            <w:tcW w:type="dxa" w:w="2448"/>
            <w:vAlign w:val="center"/>
          </w:tcPr>
          <w:p>
            <w:pPr>
              <w:spacing w:after="20"/>
            </w:pPr>
            <w:r/>
            <w:r>
              <w:rPr>
                <w:rFonts w:ascii="Aptos" w:hAnsi="Aptos"/>
                <w:b w:val="0"/>
                <w:sz w:val="15"/>
              </w:rPr>
              <w:t>SHA-256 integrity and exact duplicate detection</w:t>
            </w:r>
          </w:p>
        </w:tc>
        <w:tc>
          <w:tcPr>
            <w:tcW w:type="dxa" w:w="1728"/>
            <w:vAlign w:val="center"/>
          </w:tcPr>
          <w:p>
            <w:pPr>
              <w:spacing w:after="20"/>
            </w:pPr>
            <w:r/>
            <w:r>
              <w:rPr>
                <w:rFonts w:ascii="Aptos" w:hAnsi="Aptos"/>
                <w:b w:val="0"/>
                <w:sz w:val="15"/>
              </w:rPr>
              <w:t>High</w:t>
            </w:r>
          </w:p>
        </w:tc>
        <w:tc>
          <w:tcPr>
            <w:tcW w:type="dxa" w:w="5760"/>
            <w:vAlign w:val="center"/>
          </w:tcPr>
          <w:p>
            <w:pPr>
              <w:spacing w:after="20"/>
            </w:pPr>
            <w:r/>
            <w:r>
              <w:rPr>
                <w:rFonts w:ascii="Aptos" w:hAnsi="Aptos"/>
                <w:b w:val="0"/>
                <w:sz w:val="15"/>
              </w:rPr>
              <w:t>Available in Python standard library; must store digest per version and explain limitations.</w:t>
            </w:r>
          </w:p>
        </w:tc>
      </w:tr>
      <w:tr>
        <w:trPr>
          <w:cantSplit/>
        </w:trPr>
        <w:tc>
          <w:tcPr>
            <w:tcW w:type="dxa" w:w="2448"/>
            <w:vAlign w:val="center"/>
            <w:shd w:fill="F4F7FA"/>
          </w:tcPr>
          <w:p>
            <w:pPr>
              <w:spacing w:after="20"/>
            </w:pPr>
            <w:r/>
            <w:r>
              <w:rPr>
                <w:rFonts w:ascii="Aptos" w:hAnsi="Aptos"/>
                <w:b w:val="0"/>
                <w:sz w:val="15"/>
              </w:rPr>
              <w:t>Maturity tracking and reminders</w:t>
            </w:r>
          </w:p>
        </w:tc>
        <w:tc>
          <w:tcPr>
            <w:tcW w:type="dxa" w:w="1728"/>
            <w:vAlign w:val="center"/>
            <w:shd w:fill="F4F7FA"/>
          </w:tcPr>
          <w:p>
            <w:pPr>
              <w:spacing w:after="20"/>
            </w:pPr>
            <w:r/>
            <w:r>
              <w:rPr>
                <w:rFonts w:ascii="Aptos" w:hAnsi="Aptos"/>
                <w:b w:val="0"/>
                <w:sz w:val="15"/>
              </w:rPr>
              <w:t>High</w:t>
            </w:r>
          </w:p>
        </w:tc>
        <w:tc>
          <w:tcPr>
            <w:tcW w:type="dxa" w:w="5760"/>
            <w:vAlign w:val="center"/>
            <w:shd w:fill="F4F7FA"/>
          </w:tcPr>
          <w:p>
            <w:pPr>
              <w:spacing w:after="20"/>
            </w:pPr>
            <w:r/>
            <w:r>
              <w:rPr>
                <w:rFonts w:ascii="Aptos" w:hAnsi="Aptos"/>
                <w:b w:val="0"/>
                <w:sz w:val="15"/>
              </w:rPr>
              <w:t>Date rules and a scheduled task; job execution, timezone and delivery states need testing.</w:t>
            </w:r>
          </w:p>
        </w:tc>
      </w:tr>
      <w:tr>
        <w:trPr>
          <w:cantSplit/>
        </w:trPr>
        <w:tc>
          <w:tcPr>
            <w:tcW w:type="dxa" w:w="2448"/>
            <w:vAlign w:val="center"/>
          </w:tcPr>
          <w:p>
            <w:pPr>
              <w:spacing w:after="20"/>
            </w:pPr>
            <w:r/>
            <w:r>
              <w:rPr>
                <w:rFonts w:ascii="Aptos" w:hAnsi="Aptos"/>
                <w:b w:val="0"/>
                <w:sz w:val="15"/>
              </w:rPr>
              <w:t>Release/refund workflow and role enforcement</w:t>
            </w:r>
          </w:p>
        </w:tc>
        <w:tc>
          <w:tcPr>
            <w:tcW w:type="dxa" w:w="1728"/>
            <w:vAlign w:val="center"/>
          </w:tcPr>
          <w:p>
            <w:pPr>
              <w:spacing w:after="20"/>
            </w:pPr>
            <w:r/>
            <w:r>
              <w:rPr>
                <w:rFonts w:ascii="Aptos" w:hAnsi="Aptos"/>
                <w:b w:val="0"/>
                <w:sz w:val="15"/>
              </w:rPr>
              <w:t>High–medium</w:t>
            </w:r>
          </w:p>
        </w:tc>
        <w:tc>
          <w:tcPr>
            <w:tcW w:type="dxa" w:w="5760"/>
            <w:vAlign w:val="center"/>
          </w:tcPr>
          <w:p>
            <w:pPr>
              <w:spacing w:after="20"/>
            </w:pPr>
            <w:r/>
            <w:r>
              <w:rPr>
                <w:rFonts w:ascii="Aptos" w:hAnsi="Aptos"/>
                <w:b w:val="0"/>
                <w:sz w:val="15"/>
              </w:rPr>
              <w:t>Feasible as configurable workflow; policy interpretation and permission tests are essential.</w:t>
            </w:r>
          </w:p>
        </w:tc>
      </w:tr>
      <w:tr>
        <w:trPr>
          <w:cantSplit/>
        </w:trPr>
        <w:tc>
          <w:tcPr>
            <w:tcW w:type="dxa" w:w="2448"/>
            <w:vAlign w:val="center"/>
            <w:shd w:fill="F4F7FA"/>
          </w:tcPr>
          <w:p>
            <w:pPr>
              <w:spacing w:after="20"/>
            </w:pPr>
            <w:r/>
            <w:r>
              <w:rPr>
                <w:rFonts w:ascii="Aptos" w:hAnsi="Aptos"/>
                <w:b w:val="0"/>
                <w:sz w:val="15"/>
              </w:rPr>
              <w:t>Audit trail and dossier</w:t>
            </w:r>
          </w:p>
        </w:tc>
        <w:tc>
          <w:tcPr>
            <w:tcW w:type="dxa" w:w="1728"/>
            <w:vAlign w:val="center"/>
            <w:shd w:fill="F4F7FA"/>
          </w:tcPr>
          <w:p>
            <w:pPr>
              <w:spacing w:after="20"/>
            </w:pPr>
            <w:r/>
            <w:r>
              <w:rPr>
                <w:rFonts w:ascii="Aptos" w:hAnsi="Aptos"/>
                <w:b w:val="0"/>
                <w:sz w:val="15"/>
              </w:rPr>
              <w:t>High–medium</w:t>
            </w:r>
          </w:p>
        </w:tc>
        <w:tc>
          <w:tcPr>
            <w:tcW w:type="dxa" w:w="5760"/>
            <w:vAlign w:val="center"/>
            <w:shd w:fill="F4F7FA"/>
          </w:tcPr>
          <w:p>
            <w:pPr>
              <w:spacing w:after="20"/>
            </w:pPr>
            <w:r/>
            <w:r>
              <w:rPr>
                <w:rFonts w:ascii="Aptos" w:hAnsi="Aptos"/>
                <w:b w:val="0"/>
                <w:sz w:val="15"/>
              </w:rPr>
              <w:t>Structured events and report generation are feasible; protect history and include only actual evidence.</w:t>
            </w:r>
          </w:p>
        </w:tc>
      </w:tr>
      <w:tr>
        <w:trPr>
          <w:cantSplit/>
        </w:trPr>
        <w:tc>
          <w:tcPr>
            <w:tcW w:type="dxa" w:w="2448"/>
            <w:vAlign w:val="center"/>
          </w:tcPr>
          <w:p>
            <w:pPr>
              <w:spacing w:after="20"/>
            </w:pPr>
            <w:r/>
            <w:r>
              <w:rPr>
                <w:rFonts w:ascii="Aptos" w:hAnsi="Aptos"/>
                <w:b w:val="0"/>
                <w:sz w:val="15"/>
              </w:rPr>
              <w:t>OCR extraction</w:t>
            </w:r>
          </w:p>
        </w:tc>
        <w:tc>
          <w:tcPr>
            <w:tcW w:type="dxa" w:w="1728"/>
            <w:vAlign w:val="center"/>
          </w:tcPr>
          <w:p>
            <w:pPr>
              <w:spacing w:after="20"/>
            </w:pPr>
            <w:r/>
            <w:r>
              <w:rPr>
                <w:rFonts w:ascii="Aptos" w:hAnsi="Aptos"/>
                <w:b w:val="0"/>
                <w:sz w:val="15"/>
              </w:rPr>
              <w:t>Medium</w:t>
            </w:r>
          </w:p>
        </w:tc>
        <w:tc>
          <w:tcPr>
            <w:tcW w:type="dxa" w:w="5760"/>
            <w:vAlign w:val="center"/>
          </w:tcPr>
          <w:p>
            <w:pPr>
              <w:spacing w:after="20"/>
            </w:pPr>
            <w:r/>
            <w:r>
              <w:rPr>
                <w:rFonts w:ascii="Aptos" w:hAnsi="Aptos"/>
                <w:b w:val="0"/>
                <w:sz w:val="15"/>
              </w:rPr>
              <w:t>Quality varies by scan, language and layout; field-level confidence and manual fallback are required.</w:t>
            </w:r>
          </w:p>
        </w:tc>
      </w:tr>
      <w:tr>
        <w:trPr>
          <w:cantSplit/>
        </w:trPr>
        <w:tc>
          <w:tcPr>
            <w:tcW w:type="dxa" w:w="2448"/>
            <w:vAlign w:val="center"/>
            <w:shd w:fill="F4F7FA"/>
          </w:tcPr>
          <w:p>
            <w:pPr>
              <w:spacing w:after="20"/>
            </w:pPr>
            <w:r/>
            <w:r>
              <w:rPr>
                <w:rFonts w:ascii="Aptos" w:hAnsi="Aptos"/>
                <w:b w:val="0"/>
                <w:sz w:val="15"/>
              </w:rPr>
              <w:t>PDF signature validation</w:t>
            </w:r>
          </w:p>
        </w:tc>
        <w:tc>
          <w:tcPr>
            <w:tcW w:type="dxa" w:w="1728"/>
            <w:vAlign w:val="center"/>
            <w:shd w:fill="F4F7FA"/>
          </w:tcPr>
          <w:p>
            <w:pPr>
              <w:spacing w:after="20"/>
            </w:pPr>
            <w:r/>
            <w:r>
              <w:rPr>
                <w:rFonts w:ascii="Aptos" w:hAnsi="Aptos"/>
                <w:b w:val="0"/>
                <w:sz w:val="15"/>
              </w:rPr>
              <w:t>Medium</w:t>
            </w:r>
          </w:p>
        </w:tc>
        <w:tc>
          <w:tcPr>
            <w:tcW w:type="dxa" w:w="5760"/>
            <w:vAlign w:val="center"/>
            <w:shd w:fill="F4F7FA"/>
          </w:tcPr>
          <w:p>
            <w:pPr>
              <w:spacing w:after="20"/>
            </w:pPr>
            <w:r/>
            <w:r>
              <w:rPr>
                <w:rFonts w:ascii="Aptos" w:hAnsi="Aptos"/>
                <w:b w:val="0"/>
                <w:sz w:val="15"/>
              </w:rPr>
              <w:t>Library and trust configuration must be tested against supported PDFs and certificates.</w:t>
            </w:r>
          </w:p>
        </w:tc>
      </w:tr>
      <w:tr>
        <w:trPr>
          <w:cantSplit/>
        </w:trPr>
        <w:tc>
          <w:tcPr>
            <w:tcW w:type="dxa" w:w="2448"/>
            <w:vAlign w:val="center"/>
          </w:tcPr>
          <w:p>
            <w:pPr>
              <w:spacing w:after="20"/>
            </w:pPr>
            <w:r/>
            <w:r>
              <w:rPr>
                <w:rFonts w:ascii="Aptos" w:hAnsi="Aptos"/>
                <w:b w:val="0"/>
                <w:sz w:val="15"/>
              </w:rPr>
              <w:t>Multilingual/read-aloud/accessibility</w:t>
            </w:r>
          </w:p>
        </w:tc>
        <w:tc>
          <w:tcPr>
            <w:tcW w:type="dxa" w:w="1728"/>
            <w:vAlign w:val="center"/>
          </w:tcPr>
          <w:p>
            <w:pPr>
              <w:spacing w:after="20"/>
            </w:pPr>
            <w:r/>
            <w:r>
              <w:rPr>
                <w:rFonts w:ascii="Aptos" w:hAnsi="Aptos"/>
                <w:b w:val="0"/>
                <w:sz w:val="15"/>
              </w:rPr>
              <w:t>High–medium</w:t>
            </w:r>
          </w:p>
        </w:tc>
        <w:tc>
          <w:tcPr>
            <w:tcW w:type="dxa" w:w="5760"/>
            <w:vAlign w:val="center"/>
          </w:tcPr>
          <w:p>
            <w:pPr>
              <w:spacing w:after="20"/>
            </w:pPr>
            <w:r/>
            <w:r>
              <w:rPr>
                <w:rFonts w:ascii="Aptos" w:hAnsi="Aptos"/>
                <w:b w:val="0"/>
                <w:sz w:val="15"/>
              </w:rPr>
              <w:t>UI translation and browser TTS are feasible; available voices and full translated coverage vary by device/browser.</w:t>
            </w:r>
          </w:p>
        </w:tc>
      </w:tr>
      <w:tr>
        <w:trPr>
          <w:cantSplit/>
        </w:trPr>
        <w:tc>
          <w:tcPr>
            <w:tcW w:type="dxa" w:w="2448"/>
            <w:vAlign w:val="center"/>
            <w:shd w:fill="F4F7FA"/>
          </w:tcPr>
          <w:p>
            <w:pPr>
              <w:spacing w:after="20"/>
            </w:pPr>
            <w:r/>
            <w:r>
              <w:rPr>
                <w:rFonts w:ascii="Aptos" w:hAnsi="Aptos"/>
                <w:b w:val="0"/>
                <w:sz w:val="15"/>
              </w:rPr>
              <w:t>Live bank / AICTE integration</w:t>
            </w:r>
          </w:p>
        </w:tc>
        <w:tc>
          <w:tcPr>
            <w:tcW w:type="dxa" w:w="1728"/>
            <w:vAlign w:val="center"/>
            <w:shd w:fill="F4F7FA"/>
          </w:tcPr>
          <w:p>
            <w:pPr>
              <w:spacing w:after="20"/>
            </w:pPr>
            <w:r/>
            <w:r>
              <w:rPr>
                <w:rFonts w:ascii="Aptos" w:hAnsi="Aptos"/>
                <w:b w:val="0"/>
                <w:sz w:val="15"/>
              </w:rPr>
              <w:t>Unknown / access-dependent</w:t>
            </w:r>
          </w:p>
        </w:tc>
        <w:tc>
          <w:tcPr>
            <w:tcW w:type="dxa" w:w="5760"/>
            <w:vAlign w:val="center"/>
            <w:shd w:fill="F4F7FA"/>
          </w:tcPr>
          <w:p>
            <w:pPr>
              <w:spacing w:after="20"/>
            </w:pPr>
            <w:r/>
            <w:r>
              <w:rPr>
                <w:rFonts w:ascii="Aptos" w:hAnsi="Aptos"/>
                <w:b w:val="0"/>
                <w:sz w:val="15"/>
              </w:rPr>
              <w:t>Requires authorised access, API specifications, onboarding, security review and test credentials.</w:t>
            </w:r>
          </w:p>
        </w:tc>
      </w:tr>
      <w:tr>
        <w:trPr>
          <w:cantSplit/>
        </w:trPr>
        <w:tc>
          <w:tcPr>
            <w:tcW w:type="dxa" w:w="2448"/>
            <w:vAlign w:val="center"/>
          </w:tcPr>
          <w:p>
            <w:pPr>
              <w:spacing w:after="20"/>
            </w:pPr>
            <w:r/>
            <w:r>
              <w:rPr>
                <w:rFonts w:ascii="Aptos" w:hAnsi="Aptos"/>
                <w:b w:val="0"/>
                <w:sz w:val="15"/>
              </w:rPr>
              <w:t>Advanced document tampering ML</w:t>
            </w:r>
          </w:p>
        </w:tc>
        <w:tc>
          <w:tcPr>
            <w:tcW w:type="dxa" w:w="1728"/>
            <w:vAlign w:val="center"/>
          </w:tcPr>
          <w:p>
            <w:pPr>
              <w:spacing w:after="20"/>
            </w:pPr>
            <w:r/>
            <w:r>
              <w:rPr>
                <w:rFonts w:ascii="Aptos" w:hAnsi="Aptos"/>
                <w:b w:val="0"/>
                <w:sz w:val="15"/>
              </w:rPr>
              <w:t>Low for immediate MVP</w:t>
            </w:r>
          </w:p>
        </w:tc>
        <w:tc>
          <w:tcPr>
            <w:tcW w:type="dxa" w:w="5760"/>
            <w:vAlign w:val="center"/>
          </w:tcPr>
          <w:p>
            <w:pPr>
              <w:spacing w:after="20"/>
            </w:pPr>
            <w:r/>
            <w:r>
              <w:rPr>
                <w:rFonts w:ascii="Aptos" w:hAnsi="Aptos"/>
                <w:b w:val="0"/>
                <w:sz w:val="15"/>
              </w:rPr>
              <w:t>No FDR-specific public dataset identified; domain shift, access/licensing and evaluation effort make this future scope.</w:t>
            </w:r>
          </w:p>
        </w:tc>
      </w:tr>
    </w:tbl>
    <w:p>
      <w:pPr>
        <w:spacing w:after="0"/>
      </w:pPr>
    </w:p>
    <w:p>
      <w:pPr>
        <w:pStyle w:val="Heading2"/>
      </w:pPr>
      <w:r>
        <w:t>11.2 Economic and operational viability</w:t>
      </w:r>
    </w:p>
    <w:p>
      <w:pPr>
        <w:pStyle w:val="ListBullet"/>
        <w:spacing w:after="40"/>
      </w:pPr>
      <w:r>
        <w:t>Prototype uses open-source tooling and a local SQLite database, reducing setup cost and avoiding mandatory cloud or paid API services.</w:t>
      </w:r>
    </w:p>
    <w:p>
      <w:pPr>
        <w:pStyle w:val="ListBullet"/>
        <w:spacing w:after="40"/>
      </w:pPr>
      <w:r>
        <w:t>Manual verification and labelled simulation let the team demonstrate workflow behaviour without pretending to have bank connectivity.</w:t>
      </w:r>
    </w:p>
    <w:p>
      <w:pPr>
        <w:pStyle w:val="ListBullet"/>
        <w:spacing w:after="40"/>
      </w:pPr>
      <w:r>
        <w:t>Synthetic records allow repeatable testing without obtaining confidential FDRs.</w:t>
      </w:r>
    </w:p>
    <w:p>
      <w:pPr>
        <w:pStyle w:val="ListBullet"/>
        <w:spacing w:after="40"/>
      </w:pPr>
      <w:r>
        <w:t>Modular adapters allow future OCR, bank and AICTE integrations to be added without redesigning the whole application.</w:t>
      </w:r>
    </w:p>
    <w:p>
      <w:pPr>
        <w:pStyle w:val="ListBullet"/>
        <w:spacing w:after="40"/>
      </w:pPr>
      <w:r>
        <w:t>Production viability would require hosting, monitoring, backups, access governance, key management, secure storage, disaster recovery, legal/policy review and authorised institutional integration; these are not delivered merely by a local prototype.</w:t>
      </w:r>
    </w:p>
    <w:p>
      <w:pPr>
        <w:pStyle w:val="Heading2"/>
      </w:pPr>
      <w:r>
        <w:t>11.3 Operational viability and adoption</w:t>
      </w:r>
    </w:p>
    <w:p>
      <w:pPr>
        <w:pStyle w:val="ListBullet"/>
        <w:spacing w:after="40"/>
      </w:pPr>
      <w:r>
        <w:t>The interface should support institution users, review officers and approvers with role-specific queues and clear next actions.</w:t>
      </w:r>
    </w:p>
    <w:p>
      <w:pPr>
        <w:pStyle w:val="ListBullet"/>
        <w:spacing w:after="40"/>
      </w:pPr>
      <w:r>
        <w:t>Multilingual labels, read-aloud, guided submission and accessible forms lower interaction barriers.</w:t>
      </w:r>
    </w:p>
    <w:p>
      <w:pPr>
        <w:pStyle w:val="ListBullet"/>
        <w:spacing w:after="40"/>
      </w:pPr>
      <w:r>
        <w:t>Configurable policy data allows authorised administrators to adapt to approved process changes, but governance is needed to prevent accidental or unauthorised rule changes.</w:t>
      </w:r>
    </w:p>
    <w:p>
      <w:pPr>
        <w:pStyle w:val="ListBullet"/>
        <w:spacing w:after="40"/>
      </w:pPr>
      <w:r>
        <w:t>Reports and dossier support review and accountability; they should be evaluated with intended users before claiming operational savings.</w:t>
      </w:r>
    </w:p>
    <w:p>
      <w:pPr>
        <w:pStyle w:val="Heading2"/>
      </w:pPr>
      <w:r>
        <w:t>11.4 Feasibility conclusion</w:t>
      </w:r>
    </w:p>
    <w:p>
      <w:r>
        <w:t>A credible three-person prototype is feasible if the team prioritises a working end-to-end workflow: submit an FDR, store and hash documents, run configured checks, flag a discrepancy, resolve a deficiency, monitor maturity, process a release request through required gates, record an authorised decision, and generate a dossier. OCR, signature checks, reminders, language support and accessibility should be added in controlled increments. Live integrations and advanced tampering ML remain conditional.</w:t>
      </w:r>
    </w:p>
    <w:p>
      <w:pPr>
        <w:pStyle w:val="Heading2"/>
      </w:pPr>
      <w:r>
        <w:t>11.5 Viability conclusion</w:t>
      </w:r>
    </w:p>
    <w:p>
      <w:r>
        <w:t>The solution is viable as a low-cost, modular prototype and as a potential complementary layer for evidence and lifecycle traceability. Real-world deployment viability cannot be concluded without current-system discovery, policy confirmation, bank/AICTE access, security assessment, data governance and pilot evaluation.</w:t>
      </w:r>
    </w:p>
    <w:p>
      <w:pPr>
        <w:pStyle w:val="Heading1"/>
      </w:pPr>
      <w:r>
        <w:t>12. Evaluation plan and measurable outcomes</w:t>
      </w:r>
    </w:p>
    <w:p>
      <w:r>
        <w:t>The prototype must report measured results from a documented test set. Do not put invented accuracy, turnaround-time or savings numbers in the presentation.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088"/>
            <w:vAlign w:val="center"/>
            <w:shd w:fill="16324F"/>
          </w:tcPr>
          <w:p>
            <w:pPr>
              <w:spacing w:after="20"/>
            </w:pPr>
            <w:r/>
            <w:r>
              <w:rPr>
                <w:rFonts w:ascii="Aptos" w:hAnsi="Aptos"/>
                <w:b/>
                <w:color w:val="FFFFFF"/>
                <w:sz w:val="15"/>
              </w:rPr>
              <w:t>Metric</w:t>
            </w:r>
          </w:p>
        </w:tc>
        <w:tc>
          <w:tcPr>
            <w:tcW w:type="dxa" w:w="4608"/>
            <w:vAlign w:val="center"/>
            <w:shd w:fill="16324F"/>
          </w:tcPr>
          <w:p>
            <w:pPr>
              <w:spacing w:after="20"/>
            </w:pPr>
            <w:r/>
            <w:r>
              <w:rPr>
                <w:rFonts w:ascii="Aptos" w:hAnsi="Aptos"/>
                <w:b/>
                <w:color w:val="FFFFFF"/>
                <w:sz w:val="15"/>
              </w:rPr>
              <w:t>How to measure</w:t>
            </w:r>
          </w:p>
        </w:tc>
        <w:tc>
          <w:tcPr>
            <w:tcW w:type="dxa" w:w="3240"/>
            <w:vAlign w:val="center"/>
            <w:shd w:fill="16324F"/>
          </w:tcPr>
          <w:p>
            <w:pPr>
              <w:spacing w:after="20"/>
            </w:pPr>
            <w:r/>
            <w:r>
              <w:rPr>
                <w:rFonts w:ascii="Aptos" w:hAnsi="Aptos"/>
                <w:b/>
                <w:color w:val="FFFFFF"/>
                <w:sz w:val="15"/>
              </w:rPr>
              <w:t>Evidence to retain</w:t>
            </w:r>
          </w:p>
        </w:tc>
      </w:tr>
      <w:tr>
        <w:trPr>
          <w:cantSplit/>
        </w:trPr>
        <w:tc>
          <w:tcPr>
            <w:tcW w:type="dxa" w:w="2088"/>
            <w:vAlign w:val="center"/>
          </w:tcPr>
          <w:p>
            <w:pPr>
              <w:spacing w:after="20"/>
            </w:pPr>
            <w:r/>
            <w:r>
              <w:rPr>
                <w:rFonts w:ascii="Aptos" w:hAnsi="Aptos"/>
                <w:b w:val="0"/>
                <w:sz w:val="15"/>
              </w:rPr>
              <w:t>Record/data correctness</w:t>
            </w:r>
          </w:p>
        </w:tc>
        <w:tc>
          <w:tcPr>
            <w:tcW w:type="dxa" w:w="4608"/>
            <w:vAlign w:val="center"/>
          </w:tcPr>
          <w:p>
            <w:pPr>
              <w:spacing w:after="20"/>
            </w:pPr>
            <w:r/>
            <w:r>
              <w:rPr>
                <w:rFonts w:ascii="Aptos" w:hAnsi="Aptos"/>
                <w:b w:val="0"/>
                <w:sz w:val="15"/>
              </w:rPr>
              <w:t>Compare persisted values and status against known synthetic ground truth.</w:t>
            </w:r>
          </w:p>
        </w:tc>
        <w:tc>
          <w:tcPr>
            <w:tcW w:type="dxa" w:w="3240"/>
            <w:vAlign w:val="center"/>
          </w:tcPr>
          <w:p>
            <w:pPr>
              <w:spacing w:after="20"/>
            </w:pPr>
            <w:r/>
            <w:r>
              <w:rPr>
                <w:rFonts w:ascii="Aptos" w:hAnsi="Aptos"/>
                <w:b w:val="0"/>
                <w:sz w:val="15"/>
              </w:rPr>
              <w:t>Test dataset, expected values, actual output and test log.</w:t>
            </w:r>
          </w:p>
        </w:tc>
      </w:tr>
      <w:tr>
        <w:trPr>
          <w:cantSplit/>
        </w:trPr>
        <w:tc>
          <w:tcPr>
            <w:tcW w:type="dxa" w:w="2088"/>
            <w:vAlign w:val="center"/>
            <w:shd w:fill="F4F7FA"/>
          </w:tcPr>
          <w:p>
            <w:pPr>
              <w:spacing w:after="20"/>
            </w:pPr>
            <w:r/>
            <w:r>
              <w:rPr>
                <w:rFonts w:ascii="Aptos" w:hAnsi="Aptos"/>
                <w:b w:val="0"/>
                <w:sz w:val="15"/>
              </w:rPr>
              <w:t>Discrepancy detection</w:t>
            </w:r>
          </w:p>
        </w:tc>
        <w:tc>
          <w:tcPr>
            <w:tcW w:type="dxa" w:w="4608"/>
            <w:vAlign w:val="center"/>
            <w:shd w:fill="F4F7FA"/>
          </w:tcPr>
          <w:p>
            <w:pPr>
              <w:spacing w:after="20"/>
            </w:pPr>
            <w:r/>
            <w:r>
              <w:rPr>
                <w:rFonts w:ascii="Aptos" w:hAnsi="Aptos"/>
                <w:b w:val="0"/>
                <w:sz w:val="15"/>
              </w:rPr>
              <w:t>Create labelled cases with known mismatches; count flagged and missed cases by field/check type.</w:t>
            </w:r>
          </w:p>
        </w:tc>
        <w:tc>
          <w:tcPr>
            <w:tcW w:type="dxa" w:w="3240"/>
            <w:vAlign w:val="center"/>
            <w:shd w:fill="F4F7FA"/>
          </w:tcPr>
          <w:p>
            <w:pPr>
              <w:spacing w:after="20"/>
            </w:pPr>
            <w:r/>
            <w:r>
              <w:rPr>
                <w:rFonts w:ascii="Aptos" w:hAnsi="Aptos"/>
                <w:b w:val="0"/>
                <w:sz w:val="15"/>
              </w:rPr>
              <w:t>Case IDs, expected labels, result, false-positive/false-negative notes.</w:t>
            </w:r>
          </w:p>
        </w:tc>
      </w:tr>
      <w:tr>
        <w:trPr>
          <w:cantSplit/>
        </w:trPr>
        <w:tc>
          <w:tcPr>
            <w:tcW w:type="dxa" w:w="2088"/>
            <w:vAlign w:val="center"/>
          </w:tcPr>
          <w:p>
            <w:pPr>
              <w:spacing w:after="20"/>
            </w:pPr>
            <w:r/>
            <w:r>
              <w:rPr>
                <w:rFonts w:ascii="Aptos" w:hAnsi="Aptos"/>
                <w:b w:val="0"/>
                <w:sz w:val="15"/>
              </w:rPr>
              <w:t>OCR field accuracy (if implemented)</w:t>
            </w:r>
          </w:p>
        </w:tc>
        <w:tc>
          <w:tcPr>
            <w:tcW w:type="dxa" w:w="4608"/>
            <w:vAlign w:val="center"/>
          </w:tcPr>
          <w:p>
            <w:pPr>
              <w:spacing w:after="20"/>
            </w:pPr>
            <w:r/>
            <w:r>
              <w:rPr>
                <w:rFonts w:ascii="Aptos" w:hAnsi="Aptos"/>
                <w:b w:val="0"/>
                <w:sz w:val="15"/>
              </w:rPr>
              <w:t>Exact match after documented normalisation for IDs, amount and dates; report field-specific denominator.</w:t>
            </w:r>
          </w:p>
        </w:tc>
        <w:tc>
          <w:tcPr>
            <w:tcW w:type="dxa" w:w="3240"/>
            <w:vAlign w:val="center"/>
          </w:tcPr>
          <w:p>
            <w:pPr>
              <w:spacing w:after="20"/>
            </w:pPr>
            <w:r/>
            <w:r>
              <w:rPr>
                <w:rFonts w:ascii="Aptos" w:hAnsi="Aptos"/>
                <w:b w:val="0"/>
                <w:sz w:val="15"/>
              </w:rPr>
              <w:t>Ground truth, OCR output, confidence and correction log.</w:t>
            </w:r>
          </w:p>
        </w:tc>
      </w:tr>
      <w:tr>
        <w:trPr>
          <w:cantSplit/>
        </w:trPr>
        <w:tc>
          <w:tcPr>
            <w:tcW w:type="dxa" w:w="2088"/>
            <w:vAlign w:val="center"/>
            <w:shd w:fill="F4F7FA"/>
          </w:tcPr>
          <w:p>
            <w:pPr>
              <w:spacing w:after="20"/>
            </w:pPr>
            <w:r/>
            <w:r>
              <w:rPr>
                <w:rFonts w:ascii="Aptos" w:hAnsi="Aptos"/>
                <w:b w:val="0"/>
                <w:sz w:val="15"/>
              </w:rPr>
              <w:t>Maturity/reminder correctness</w:t>
            </w:r>
          </w:p>
        </w:tc>
        <w:tc>
          <w:tcPr>
            <w:tcW w:type="dxa" w:w="4608"/>
            <w:vAlign w:val="center"/>
            <w:shd w:fill="F4F7FA"/>
          </w:tcPr>
          <w:p>
            <w:pPr>
              <w:spacing w:after="20"/>
            </w:pPr>
            <w:r/>
            <w:r>
              <w:rPr>
                <w:rFonts w:ascii="Aptos" w:hAnsi="Aptos"/>
                <w:b w:val="0"/>
                <w:sz w:val="15"/>
              </w:rPr>
              <w:t>Use dates inside/outside configured reminder windows and test overdue paths.</w:t>
            </w:r>
          </w:p>
        </w:tc>
        <w:tc>
          <w:tcPr>
            <w:tcW w:type="dxa" w:w="3240"/>
            <w:vAlign w:val="center"/>
            <w:shd w:fill="F4F7FA"/>
          </w:tcPr>
          <w:p>
            <w:pPr>
              <w:spacing w:after="20"/>
            </w:pPr>
            <w:r/>
            <w:r>
              <w:rPr>
                <w:rFonts w:ascii="Aptos" w:hAnsi="Aptos"/>
                <w:b w:val="0"/>
                <w:sz w:val="15"/>
              </w:rPr>
              <w:t>Configuration version, clock/date fixture, expected and actual notifications.</w:t>
            </w:r>
          </w:p>
        </w:tc>
      </w:tr>
      <w:tr>
        <w:trPr>
          <w:cantSplit/>
        </w:trPr>
        <w:tc>
          <w:tcPr>
            <w:tcW w:type="dxa" w:w="2088"/>
            <w:vAlign w:val="center"/>
          </w:tcPr>
          <w:p>
            <w:pPr>
              <w:spacing w:after="20"/>
            </w:pPr>
            <w:r/>
            <w:r>
              <w:rPr>
                <w:rFonts w:ascii="Aptos" w:hAnsi="Aptos"/>
                <w:b w:val="0"/>
                <w:sz w:val="15"/>
              </w:rPr>
              <w:t>Renewal/replacement integrity</w:t>
            </w:r>
          </w:p>
        </w:tc>
        <w:tc>
          <w:tcPr>
            <w:tcW w:type="dxa" w:w="4608"/>
            <w:vAlign w:val="center"/>
          </w:tcPr>
          <w:p>
            <w:pPr>
              <w:spacing w:after="20"/>
            </w:pPr>
            <w:r/>
            <w:r>
              <w:rPr>
                <w:rFonts w:ascii="Aptos" w:hAnsi="Aptos"/>
                <w:b w:val="0"/>
                <w:sz w:val="15"/>
              </w:rPr>
              <w:t>Verify old instrument remains linked and history survives replacement.</w:t>
            </w:r>
          </w:p>
        </w:tc>
        <w:tc>
          <w:tcPr>
            <w:tcW w:type="dxa" w:w="3240"/>
            <w:vAlign w:val="center"/>
          </w:tcPr>
          <w:p>
            <w:pPr>
              <w:spacing w:after="20"/>
            </w:pPr>
            <w:r/>
            <w:r>
              <w:rPr>
                <w:rFonts w:ascii="Aptos" w:hAnsi="Aptos"/>
                <w:b w:val="0"/>
                <w:sz w:val="15"/>
              </w:rPr>
              <w:t>Before/after records and event history.</w:t>
            </w:r>
          </w:p>
        </w:tc>
      </w:tr>
      <w:tr>
        <w:trPr>
          <w:cantSplit/>
        </w:trPr>
        <w:tc>
          <w:tcPr>
            <w:tcW w:type="dxa" w:w="2088"/>
            <w:vAlign w:val="center"/>
            <w:shd w:fill="F4F7FA"/>
          </w:tcPr>
          <w:p>
            <w:pPr>
              <w:spacing w:after="20"/>
            </w:pPr>
            <w:r/>
            <w:r>
              <w:rPr>
                <w:rFonts w:ascii="Aptos" w:hAnsi="Aptos"/>
                <w:b w:val="0"/>
                <w:sz w:val="15"/>
              </w:rPr>
              <w:t>Release workflow safety</w:t>
            </w:r>
          </w:p>
        </w:tc>
        <w:tc>
          <w:tcPr>
            <w:tcW w:type="dxa" w:w="4608"/>
            <w:vAlign w:val="center"/>
            <w:shd w:fill="F4F7FA"/>
          </w:tcPr>
          <w:p>
            <w:pPr>
              <w:spacing w:after="20"/>
            </w:pPr>
            <w:r/>
            <w:r>
              <w:rPr>
                <w:rFonts w:ascii="Aptos" w:hAnsi="Aptos"/>
                <w:b w:val="0"/>
                <w:sz w:val="15"/>
              </w:rPr>
              <w:t>Attempt valid and invalid transitions, including missing clearance and unauthorised role.</w:t>
            </w:r>
          </w:p>
        </w:tc>
        <w:tc>
          <w:tcPr>
            <w:tcW w:type="dxa" w:w="3240"/>
            <w:vAlign w:val="center"/>
            <w:shd w:fill="F4F7FA"/>
          </w:tcPr>
          <w:p>
            <w:pPr>
              <w:spacing w:after="20"/>
            </w:pPr>
            <w:r/>
            <w:r>
              <w:rPr>
                <w:rFonts w:ascii="Aptos" w:hAnsi="Aptos"/>
                <w:b w:val="0"/>
                <w:sz w:val="15"/>
              </w:rPr>
              <w:t>API tests showing blocked/allowed transition and audit event.</w:t>
            </w:r>
          </w:p>
        </w:tc>
      </w:tr>
      <w:tr>
        <w:trPr>
          <w:cantSplit/>
        </w:trPr>
        <w:tc>
          <w:tcPr>
            <w:tcW w:type="dxa" w:w="2088"/>
            <w:vAlign w:val="center"/>
          </w:tcPr>
          <w:p>
            <w:pPr>
              <w:spacing w:after="20"/>
            </w:pPr>
            <w:r/>
            <w:r>
              <w:rPr>
                <w:rFonts w:ascii="Aptos" w:hAnsi="Aptos"/>
                <w:b w:val="0"/>
                <w:sz w:val="15"/>
              </w:rPr>
              <w:t>Turnaround time</w:t>
            </w:r>
          </w:p>
        </w:tc>
        <w:tc>
          <w:tcPr>
            <w:tcW w:type="dxa" w:w="4608"/>
            <w:vAlign w:val="center"/>
          </w:tcPr>
          <w:p>
            <w:pPr>
              <w:spacing w:after="20"/>
            </w:pPr>
            <w:r/>
            <w:r>
              <w:rPr>
                <w:rFonts w:ascii="Aptos" w:hAnsi="Aptos"/>
                <w:b w:val="0"/>
                <w:sz w:val="15"/>
              </w:rPr>
              <w:t>Measure elapsed time for a clearly defined synthetic workflow with a fixed procedure; compare baseline and prototype method.</w:t>
            </w:r>
          </w:p>
        </w:tc>
        <w:tc>
          <w:tcPr>
            <w:tcW w:type="dxa" w:w="3240"/>
            <w:vAlign w:val="center"/>
          </w:tcPr>
          <w:p>
            <w:pPr>
              <w:spacing w:after="20"/>
            </w:pPr>
            <w:r/>
            <w:r>
              <w:rPr>
                <w:rFonts w:ascii="Aptos" w:hAnsi="Aptos"/>
                <w:b w:val="0"/>
                <w:sz w:val="15"/>
              </w:rPr>
              <w:t>Task definition, sample size, raw timings and limitations.</w:t>
            </w:r>
          </w:p>
        </w:tc>
      </w:tr>
      <w:tr>
        <w:trPr>
          <w:cantSplit/>
        </w:trPr>
        <w:tc>
          <w:tcPr>
            <w:tcW w:type="dxa" w:w="2088"/>
            <w:vAlign w:val="center"/>
            <w:shd w:fill="F4F7FA"/>
          </w:tcPr>
          <w:p>
            <w:pPr>
              <w:spacing w:after="20"/>
            </w:pPr>
            <w:r/>
            <w:r>
              <w:rPr>
                <w:rFonts w:ascii="Aptos" w:hAnsi="Aptos"/>
                <w:b w:val="0"/>
                <w:sz w:val="15"/>
              </w:rPr>
              <w:t>Manual tracking effort</w:t>
            </w:r>
          </w:p>
        </w:tc>
        <w:tc>
          <w:tcPr>
            <w:tcW w:type="dxa" w:w="4608"/>
            <w:vAlign w:val="center"/>
            <w:shd w:fill="F4F7FA"/>
          </w:tcPr>
          <w:p>
            <w:pPr>
              <w:spacing w:after="20"/>
            </w:pPr>
            <w:r/>
            <w:r>
              <w:rPr>
                <w:rFonts w:ascii="Aptos" w:hAnsi="Aptos"/>
                <w:b w:val="0"/>
                <w:sz w:val="15"/>
              </w:rPr>
              <w:t>Count steps/clicks or required lookups for a defined task before/after the prototype.</w:t>
            </w:r>
          </w:p>
        </w:tc>
        <w:tc>
          <w:tcPr>
            <w:tcW w:type="dxa" w:w="3240"/>
            <w:vAlign w:val="center"/>
            <w:shd w:fill="F4F7FA"/>
          </w:tcPr>
          <w:p>
            <w:pPr>
              <w:spacing w:after="20"/>
            </w:pPr>
            <w:r/>
            <w:r>
              <w:rPr>
                <w:rFonts w:ascii="Aptos" w:hAnsi="Aptos"/>
                <w:b w:val="0"/>
                <w:sz w:val="15"/>
              </w:rPr>
              <w:t>Task script and observed counts; do not generalise beyond test.</w:t>
            </w:r>
          </w:p>
        </w:tc>
      </w:tr>
      <w:tr>
        <w:trPr>
          <w:cantSplit/>
        </w:trPr>
        <w:tc>
          <w:tcPr>
            <w:tcW w:type="dxa" w:w="2088"/>
            <w:vAlign w:val="center"/>
          </w:tcPr>
          <w:p>
            <w:pPr>
              <w:spacing w:after="20"/>
            </w:pPr>
            <w:r/>
            <w:r>
              <w:rPr>
                <w:rFonts w:ascii="Aptos" w:hAnsi="Aptos"/>
                <w:b w:val="0"/>
                <w:sz w:val="15"/>
              </w:rPr>
              <w:t>Audit completeness</w:t>
            </w:r>
          </w:p>
        </w:tc>
        <w:tc>
          <w:tcPr>
            <w:tcW w:type="dxa" w:w="4608"/>
            <w:vAlign w:val="center"/>
          </w:tcPr>
          <w:p>
            <w:pPr>
              <w:spacing w:after="20"/>
            </w:pPr>
            <w:r/>
            <w:r>
              <w:rPr>
                <w:rFonts w:ascii="Aptos" w:hAnsi="Aptos"/>
                <w:b w:val="0"/>
                <w:sz w:val="15"/>
              </w:rPr>
              <w:t>Check required actor, timestamp, action, target, reason and rule version for selected events.</w:t>
            </w:r>
          </w:p>
        </w:tc>
        <w:tc>
          <w:tcPr>
            <w:tcW w:type="dxa" w:w="3240"/>
            <w:vAlign w:val="center"/>
          </w:tcPr>
          <w:p>
            <w:pPr>
              <w:spacing w:after="20"/>
            </w:pPr>
            <w:r/>
            <w:r>
              <w:rPr>
                <w:rFonts w:ascii="Aptos" w:hAnsi="Aptos"/>
                <w:b w:val="0"/>
                <w:sz w:val="15"/>
              </w:rPr>
              <w:t>Audit assertion results.</w:t>
            </w:r>
          </w:p>
        </w:tc>
      </w:tr>
      <w:tr>
        <w:trPr>
          <w:cantSplit/>
        </w:trPr>
        <w:tc>
          <w:tcPr>
            <w:tcW w:type="dxa" w:w="2088"/>
            <w:vAlign w:val="center"/>
            <w:shd w:fill="F4F7FA"/>
          </w:tcPr>
          <w:p>
            <w:pPr>
              <w:spacing w:after="20"/>
            </w:pPr>
            <w:r/>
            <w:r>
              <w:rPr>
                <w:rFonts w:ascii="Aptos" w:hAnsi="Aptos"/>
                <w:b w:val="0"/>
                <w:sz w:val="15"/>
              </w:rPr>
              <w:t>Accessibility</w:t>
            </w:r>
          </w:p>
        </w:tc>
        <w:tc>
          <w:tcPr>
            <w:tcW w:type="dxa" w:w="4608"/>
            <w:vAlign w:val="center"/>
            <w:shd w:fill="F4F7FA"/>
          </w:tcPr>
          <w:p>
            <w:pPr>
              <w:spacing w:after="20"/>
            </w:pPr>
            <w:r/>
            <w:r>
              <w:rPr>
                <w:rFonts w:ascii="Aptos" w:hAnsi="Aptos"/>
                <w:b w:val="0"/>
                <w:sz w:val="15"/>
              </w:rPr>
              <w:t>Keyboard walkthrough, visible focus, label checks, contrast check, zoom and available screen-reader checks.</w:t>
            </w:r>
          </w:p>
        </w:tc>
        <w:tc>
          <w:tcPr>
            <w:tcW w:type="dxa" w:w="3240"/>
            <w:vAlign w:val="center"/>
            <w:shd w:fill="F4F7FA"/>
          </w:tcPr>
          <w:p>
            <w:pPr>
              <w:spacing w:after="20"/>
            </w:pPr>
            <w:r/>
            <w:r>
              <w:rPr>
                <w:rFonts w:ascii="Aptos" w:hAnsi="Aptos"/>
                <w:b w:val="0"/>
                <w:sz w:val="15"/>
              </w:rPr>
              <w:t>Checklist, issues found and resolved.</w:t>
            </w:r>
          </w:p>
        </w:tc>
      </w:tr>
    </w:tbl>
    <w:p>
      <w:pPr>
        <w:spacing w:after="0"/>
      </w:pPr>
    </w:p>
    <w:p>
      <w:pPr>
        <w:pStyle w:val="Heading2"/>
      </w:pPr>
      <w:r>
        <w:t>Synthetic scenario pack</w:t>
      </w:r>
    </w:p>
    <w:p>
      <w:pPr>
        <w:pStyle w:val="ListBullet"/>
        <w:spacing w:after="40"/>
      </w:pPr>
      <w:r>
        <w:t>Clean record: all required synthetic documents present and fields consistent.</w:t>
      </w:r>
    </w:p>
    <w:p>
      <w:pPr>
        <w:pStyle w:val="ListBullet"/>
        <w:spacing w:after="40"/>
      </w:pPr>
      <w:r>
        <w:t>Amount mismatch: submitted amount differs from extracted amount.</w:t>
      </w:r>
    </w:p>
    <w:p>
      <w:pPr>
        <w:pStyle w:val="ListBullet"/>
        <w:spacing w:after="40"/>
      </w:pPr>
      <w:r>
        <w:t>Instrument-number mismatch: identifier differs between form and FDR copy.</w:t>
      </w:r>
    </w:p>
    <w:p>
      <w:pPr>
        <w:pStyle w:val="ListBullet"/>
        <w:spacing w:after="40"/>
      </w:pPr>
      <w:r>
        <w:t>Missing document: applicable checklist item not supplied.</w:t>
      </w:r>
    </w:p>
    <w:p>
      <w:pPr>
        <w:pStyle w:val="ListBullet"/>
        <w:spacing w:after="40"/>
      </w:pPr>
      <w:r>
        <w:t>Low-confidence OCR: field must be manually reviewed instead of auto-passing.</w:t>
      </w:r>
    </w:p>
    <w:p>
      <w:pPr>
        <w:pStyle w:val="ListBullet"/>
        <w:spacing w:after="40"/>
      </w:pPr>
      <w:r>
        <w:t>Exact duplicate: same file hash or repeated instrument identifier.</w:t>
      </w:r>
    </w:p>
    <w:p>
      <w:pPr>
        <w:pStyle w:val="ListBullet"/>
        <w:spacing w:after="40"/>
      </w:pPr>
      <w:r>
        <w:t>Possible near-duplicate: similar normalised values trigger review, not fraud determination.</w:t>
      </w:r>
    </w:p>
    <w:p>
      <w:pPr>
        <w:pStyle w:val="ListBullet"/>
        <w:spacing w:after="40"/>
      </w:pPr>
      <w:r>
        <w:t>Hash mismatch: stored file differs from the originally recorded digest.</w:t>
      </w:r>
    </w:p>
    <w:p>
      <w:pPr>
        <w:pStyle w:val="ListBullet"/>
        <w:spacing w:after="40"/>
      </w:pPr>
      <w:r>
        <w:t>PDF signature: signed valid/test document, invalid signature, unsigned document, and unsupported/unavailable case where feasible.</w:t>
      </w:r>
    </w:p>
    <w:p>
      <w:pPr>
        <w:pStyle w:val="ListBullet"/>
        <w:spacing w:after="40"/>
      </w:pPr>
      <w:r>
        <w:t>Upcoming maturity and overdue task: verify configured reminder and escalation.</w:t>
      </w:r>
    </w:p>
    <w:p>
      <w:pPr>
        <w:pStyle w:val="ListBullet"/>
        <w:spacing w:after="40"/>
      </w:pPr>
      <w:r>
        <w:t>Renewal/replacement: new record links to prior instrument and history remains.</w:t>
      </w:r>
    </w:p>
    <w:p>
      <w:pPr>
        <w:pStyle w:val="ListBullet"/>
        <w:spacing w:after="40"/>
      </w:pPr>
      <w:r>
        <w:t>Release blocked: mandatory clearance missing or actor lacks permission.</w:t>
      </w:r>
    </w:p>
    <w:p>
      <w:pPr>
        <w:pStyle w:val="ListBullet"/>
        <w:spacing w:after="40"/>
      </w:pPr>
      <w:r>
        <w:t>Release completed: all configured gates satisfied and authorised approver records a decision.</w:t>
      </w:r>
    </w:p>
    <w:p>
      <w:pPr>
        <w:pStyle w:val="ListBullet"/>
        <w:spacing w:after="40"/>
      </w:pPr>
      <w:r>
        <w:t>Configuration change: update a reminder/checklist rule without source edits and prove behaviour changes.</w:t>
      </w:r>
    </w:p>
    <w:p>
      <w:pPr>
        <w:pStyle w:val="ListBullet"/>
        <w:spacing w:after="40"/>
      </w:pPr>
      <w:r>
        <w:t>Multilingual/accessibility: switch language, use read-aloud, navigate forms by keyboard and inspect status without colour reliance.</w:t>
      </w:r>
    </w:p>
    <w:p>
      <w:pPr>
        <w:pStyle w:val="Heading1"/>
      </w:pPr>
      <w:r>
        <w:t>13. Acceptance criteria and test scenarios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008"/>
            <w:vAlign w:val="center"/>
            <w:shd w:fill="16324F"/>
          </w:tcPr>
          <w:p>
            <w:pPr>
              <w:spacing w:after="20"/>
            </w:pPr>
            <w:r/>
            <w:r>
              <w:rPr>
                <w:rFonts w:ascii="Aptos" w:hAnsi="Aptos"/>
                <w:b/>
                <w:color w:val="FFFFFF"/>
                <w:sz w:val="15"/>
              </w:rPr>
              <w:t>ID</w:t>
            </w:r>
          </w:p>
        </w:tc>
        <w:tc>
          <w:tcPr>
            <w:tcW w:type="dxa" w:w="5328"/>
            <w:vAlign w:val="center"/>
            <w:shd w:fill="16324F"/>
          </w:tcPr>
          <w:p>
            <w:pPr>
              <w:spacing w:after="20"/>
            </w:pPr>
            <w:r/>
            <w:r>
              <w:rPr>
                <w:rFonts w:ascii="Aptos" w:hAnsi="Aptos"/>
                <w:b/>
                <w:color w:val="FFFFFF"/>
                <w:sz w:val="15"/>
              </w:rPr>
              <w:t>Acceptance criterion</w:t>
            </w:r>
          </w:p>
        </w:tc>
        <w:tc>
          <w:tcPr>
            <w:tcW w:type="dxa" w:w="3600"/>
            <w:vAlign w:val="center"/>
            <w:shd w:fill="16324F"/>
          </w:tcPr>
          <w:p>
            <w:pPr>
              <w:spacing w:after="20"/>
            </w:pPr>
            <w:r/>
            <w:r>
              <w:rPr>
                <w:rFonts w:ascii="Aptos" w:hAnsi="Aptos"/>
                <w:b/>
                <w:color w:val="FFFFFF"/>
                <w:sz w:val="15"/>
              </w:rPr>
              <w:t>Test proof</w:t>
            </w:r>
          </w:p>
        </w:tc>
      </w:tr>
      <w:tr>
        <w:trPr>
          <w:cantSplit/>
        </w:trPr>
        <w:tc>
          <w:tcPr>
            <w:tcW w:type="dxa" w:w="1008"/>
            <w:vAlign w:val="center"/>
          </w:tcPr>
          <w:p>
            <w:pPr>
              <w:spacing w:after="20"/>
            </w:pPr>
            <w:r/>
            <w:r>
              <w:rPr>
                <w:rFonts w:ascii="Aptos" w:hAnsi="Aptos"/>
                <w:b w:val="0"/>
                <w:sz w:val="15"/>
              </w:rPr>
              <w:t>AC-01</w:t>
            </w:r>
          </w:p>
        </w:tc>
        <w:tc>
          <w:tcPr>
            <w:tcW w:type="dxa" w:w="5328"/>
            <w:vAlign w:val="center"/>
          </w:tcPr>
          <w:p>
            <w:pPr>
              <w:spacing w:after="20"/>
            </w:pPr>
            <w:r/>
            <w:r>
              <w:rPr>
                <w:rFonts w:ascii="Aptos" w:hAnsi="Aptos"/>
                <w:b w:val="0"/>
                <w:sz w:val="15"/>
              </w:rPr>
              <w:t>User can create, view, update and archive a permitted FDR record.</w:t>
            </w:r>
          </w:p>
        </w:tc>
        <w:tc>
          <w:tcPr>
            <w:tcW w:type="dxa" w:w="3600"/>
            <w:vAlign w:val="center"/>
          </w:tcPr>
          <w:p>
            <w:pPr>
              <w:spacing w:after="20"/>
            </w:pPr>
            <w:r/>
            <w:r>
              <w:rPr>
                <w:rFonts w:ascii="Aptos" w:hAnsi="Aptos"/>
                <w:b w:val="0"/>
                <w:sz w:val="15"/>
              </w:rPr>
              <w:t>API/UI tests; authorised and unauthorised cases.</w:t>
            </w:r>
          </w:p>
        </w:tc>
      </w:tr>
      <w:tr>
        <w:trPr>
          <w:cantSplit/>
        </w:trPr>
        <w:tc>
          <w:tcPr>
            <w:tcW w:type="dxa" w:w="1008"/>
            <w:vAlign w:val="center"/>
            <w:shd w:fill="F4F7FA"/>
          </w:tcPr>
          <w:p>
            <w:pPr>
              <w:spacing w:after="20"/>
            </w:pPr>
            <w:r/>
            <w:r>
              <w:rPr>
                <w:rFonts w:ascii="Aptos" w:hAnsi="Aptos"/>
                <w:b w:val="0"/>
                <w:sz w:val="15"/>
              </w:rPr>
              <w:t>AC-02</w:t>
            </w:r>
          </w:p>
        </w:tc>
        <w:tc>
          <w:tcPr>
            <w:tcW w:type="dxa" w:w="5328"/>
            <w:vAlign w:val="center"/>
            <w:shd w:fill="F4F7FA"/>
          </w:tcPr>
          <w:p>
            <w:pPr>
              <w:spacing w:after="20"/>
            </w:pPr>
            <w:r/>
            <w:r>
              <w:rPr>
                <w:rFonts w:ascii="Aptos" w:hAnsi="Aptos"/>
                <w:b w:val="0"/>
                <w:sz w:val="15"/>
              </w:rPr>
              <w:t>Institution user cannot read or download another institution's record/document.</w:t>
            </w:r>
          </w:p>
        </w:tc>
        <w:tc>
          <w:tcPr>
            <w:tcW w:type="dxa" w:w="3600"/>
            <w:vAlign w:val="center"/>
            <w:shd w:fill="F4F7FA"/>
          </w:tcPr>
          <w:p>
            <w:pPr>
              <w:spacing w:after="20"/>
            </w:pPr>
            <w:r/>
            <w:r>
              <w:rPr>
                <w:rFonts w:ascii="Aptos" w:hAnsi="Aptos"/>
                <w:b w:val="0"/>
                <w:sz w:val="15"/>
              </w:rPr>
              <w:t>Tenant-isolation tests for API, search, reports and downloads.</w:t>
            </w:r>
          </w:p>
        </w:tc>
      </w:tr>
      <w:tr>
        <w:trPr>
          <w:cantSplit/>
        </w:trPr>
        <w:tc>
          <w:tcPr>
            <w:tcW w:type="dxa" w:w="1008"/>
            <w:vAlign w:val="center"/>
          </w:tcPr>
          <w:p>
            <w:pPr>
              <w:spacing w:after="20"/>
            </w:pPr>
            <w:r/>
            <w:r>
              <w:rPr>
                <w:rFonts w:ascii="Aptos" w:hAnsi="Aptos"/>
                <w:b w:val="0"/>
                <w:sz w:val="15"/>
              </w:rPr>
              <w:t>AC-03</w:t>
            </w:r>
          </w:p>
        </w:tc>
        <w:tc>
          <w:tcPr>
            <w:tcW w:type="dxa" w:w="5328"/>
            <w:vAlign w:val="center"/>
          </w:tcPr>
          <w:p>
            <w:pPr>
              <w:spacing w:after="20"/>
            </w:pPr>
            <w:r/>
            <w:r>
              <w:rPr>
                <w:rFonts w:ascii="Aptos" w:hAnsi="Aptos"/>
                <w:b w:val="0"/>
                <w:sz w:val="15"/>
              </w:rPr>
              <w:t>Every document version stores its hash and upload metadata.</w:t>
            </w:r>
          </w:p>
        </w:tc>
        <w:tc>
          <w:tcPr>
            <w:tcW w:type="dxa" w:w="3600"/>
            <w:vAlign w:val="center"/>
          </w:tcPr>
          <w:p>
            <w:pPr>
              <w:spacing w:after="20"/>
            </w:pPr>
            <w:r/>
            <w:r>
              <w:rPr>
                <w:rFonts w:ascii="Aptos" w:hAnsi="Aptos"/>
                <w:b w:val="0"/>
                <w:sz w:val="15"/>
              </w:rPr>
              <w:t>Upload test and re-hash verification.</w:t>
            </w:r>
          </w:p>
        </w:tc>
      </w:tr>
      <w:tr>
        <w:trPr>
          <w:cantSplit/>
        </w:trPr>
        <w:tc>
          <w:tcPr>
            <w:tcW w:type="dxa" w:w="1008"/>
            <w:vAlign w:val="center"/>
            <w:shd w:fill="F4F7FA"/>
          </w:tcPr>
          <w:p>
            <w:pPr>
              <w:spacing w:after="20"/>
            </w:pPr>
            <w:r/>
            <w:r>
              <w:rPr>
                <w:rFonts w:ascii="Aptos" w:hAnsi="Aptos"/>
                <w:b w:val="0"/>
                <w:sz w:val="15"/>
              </w:rPr>
              <w:t>AC-04</w:t>
            </w:r>
          </w:p>
        </w:tc>
        <w:tc>
          <w:tcPr>
            <w:tcW w:type="dxa" w:w="5328"/>
            <w:vAlign w:val="center"/>
            <w:shd w:fill="F4F7FA"/>
          </w:tcPr>
          <w:p>
            <w:pPr>
              <w:spacing w:after="20"/>
            </w:pPr>
            <w:r/>
            <w:r>
              <w:rPr>
                <w:rFonts w:ascii="Aptos" w:hAnsi="Aptos"/>
                <w:b w:val="0"/>
                <w:sz w:val="15"/>
              </w:rPr>
              <w:t>A seeded mismatch creates a visible finding linked to its source and rule version.</w:t>
            </w:r>
          </w:p>
        </w:tc>
        <w:tc>
          <w:tcPr>
            <w:tcW w:type="dxa" w:w="3600"/>
            <w:vAlign w:val="center"/>
            <w:shd w:fill="F4F7FA"/>
          </w:tcPr>
          <w:p>
            <w:pPr>
              <w:spacing w:after="20"/>
            </w:pPr>
            <w:r/>
            <w:r>
              <w:rPr>
                <w:rFonts w:ascii="Aptos" w:hAnsi="Aptos"/>
                <w:b w:val="0"/>
                <w:sz w:val="15"/>
              </w:rPr>
              <w:t>Known mismatch test.</w:t>
            </w:r>
          </w:p>
        </w:tc>
      </w:tr>
      <w:tr>
        <w:trPr>
          <w:cantSplit/>
        </w:trPr>
        <w:tc>
          <w:tcPr>
            <w:tcW w:type="dxa" w:w="1008"/>
            <w:vAlign w:val="center"/>
          </w:tcPr>
          <w:p>
            <w:pPr>
              <w:spacing w:after="20"/>
            </w:pPr>
            <w:r/>
            <w:r>
              <w:rPr>
                <w:rFonts w:ascii="Aptos" w:hAnsi="Aptos"/>
                <w:b w:val="0"/>
                <w:sz w:val="15"/>
              </w:rPr>
              <w:t>AC-05</w:t>
            </w:r>
          </w:p>
        </w:tc>
        <w:tc>
          <w:tcPr>
            <w:tcW w:type="dxa" w:w="5328"/>
            <w:vAlign w:val="center"/>
          </w:tcPr>
          <w:p>
            <w:pPr>
              <w:spacing w:after="20"/>
            </w:pPr>
            <w:r/>
            <w:r>
              <w:rPr>
                <w:rFonts w:ascii="Aptos" w:hAnsi="Aptos"/>
                <w:b w:val="0"/>
                <w:sz w:val="15"/>
              </w:rPr>
              <w:t>Missing/low-confidence/unavailable checks never silently pass.</w:t>
            </w:r>
          </w:p>
        </w:tc>
        <w:tc>
          <w:tcPr>
            <w:tcW w:type="dxa" w:w="3600"/>
            <w:vAlign w:val="center"/>
          </w:tcPr>
          <w:p>
            <w:pPr>
              <w:spacing w:after="20"/>
            </w:pPr>
            <w:r/>
            <w:r>
              <w:rPr>
                <w:rFonts w:ascii="Aptos" w:hAnsi="Aptos"/>
                <w:b w:val="0"/>
                <w:sz w:val="15"/>
              </w:rPr>
              <w:t>Negative-path tests.</w:t>
            </w:r>
          </w:p>
        </w:tc>
      </w:tr>
      <w:tr>
        <w:trPr>
          <w:cantSplit/>
        </w:trPr>
        <w:tc>
          <w:tcPr>
            <w:tcW w:type="dxa" w:w="1008"/>
            <w:vAlign w:val="center"/>
            <w:shd w:fill="F4F7FA"/>
          </w:tcPr>
          <w:p>
            <w:pPr>
              <w:spacing w:after="20"/>
            </w:pPr>
            <w:r/>
            <w:r>
              <w:rPr>
                <w:rFonts w:ascii="Aptos" w:hAnsi="Aptos"/>
                <w:b w:val="0"/>
                <w:sz w:val="15"/>
              </w:rPr>
              <w:t>AC-06</w:t>
            </w:r>
          </w:p>
        </w:tc>
        <w:tc>
          <w:tcPr>
            <w:tcW w:type="dxa" w:w="5328"/>
            <w:vAlign w:val="center"/>
            <w:shd w:fill="F4F7FA"/>
          </w:tcPr>
          <w:p>
            <w:pPr>
              <w:spacing w:after="20"/>
            </w:pPr>
            <w:r/>
            <w:r>
              <w:rPr>
                <w:rFonts w:ascii="Aptos" w:hAnsi="Aptos"/>
                <w:b w:val="0"/>
                <w:sz w:val="15"/>
              </w:rPr>
              <w:t>Renewal/replacement preserves old instrument and document history.</w:t>
            </w:r>
          </w:p>
        </w:tc>
        <w:tc>
          <w:tcPr>
            <w:tcW w:type="dxa" w:w="3600"/>
            <w:vAlign w:val="center"/>
            <w:shd w:fill="F4F7FA"/>
          </w:tcPr>
          <w:p>
            <w:pPr>
              <w:spacing w:after="20"/>
            </w:pPr>
            <w:r/>
            <w:r>
              <w:rPr>
                <w:rFonts w:ascii="Aptos" w:hAnsi="Aptos"/>
                <w:b w:val="0"/>
                <w:sz w:val="15"/>
              </w:rPr>
              <w:t>Linked record and audit test.</w:t>
            </w:r>
          </w:p>
        </w:tc>
      </w:tr>
      <w:tr>
        <w:trPr>
          <w:cantSplit/>
        </w:trPr>
        <w:tc>
          <w:tcPr>
            <w:tcW w:type="dxa" w:w="1008"/>
            <w:vAlign w:val="center"/>
          </w:tcPr>
          <w:p>
            <w:pPr>
              <w:spacing w:after="20"/>
            </w:pPr>
            <w:r/>
            <w:r>
              <w:rPr>
                <w:rFonts w:ascii="Aptos" w:hAnsi="Aptos"/>
                <w:b w:val="0"/>
                <w:sz w:val="15"/>
              </w:rPr>
              <w:t>AC-07</w:t>
            </w:r>
          </w:p>
        </w:tc>
        <w:tc>
          <w:tcPr>
            <w:tcW w:type="dxa" w:w="5328"/>
            <w:vAlign w:val="center"/>
          </w:tcPr>
          <w:p>
            <w:pPr>
              <w:spacing w:after="20"/>
            </w:pPr>
            <w:r/>
            <w:r>
              <w:rPr>
                <w:rFonts w:ascii="Aptos" w:hAnsi="Aptos"/>
                <w:b w:val="0"/>
                <w:sz w:val="15"/>
              </w:rPr>
              <w:t>Configured maturity window drives reminders without code change.</w:t>
            </w:r>
          </w:p>
        </w:tc>
        <w:tc>
          <w:tcPr>
            <w:tcW w:type="dxa" w:w="3600"/>
            <w:vAlign w:val="center"/>
          </w:tcPr>
          <w:p>
            <w:pPr>
              <w:spacing w:after="20"/>
            </w:pPr>
            <w:r/>
            <w:r>
              <w:rPr>
                <w:rFonts w:ascii="Aptos" w:hAnsi="Aptos"/>
                <w:b w:val="0"/>
                <w:sz w:val="15"/>
              </w:rPr>
              <w:t>Change-config-and-retest test.</w:t>
            </w:r>
          </w:p>
        </w:tc>
      </w:tr>
      <w:tr>
        <w:trPr>
          <w:cantSplit/>
        </w:trPr>
        <w:tc>
          <w:tcPr>
            <w:tcW w:type="dxa" w:w="1008"/>
            <w:vAlign w:val="center"/>
            <w:shd w:fill="F4F7FA"/>
          </w:tcPr>
          <w:p>
            <w:pPr>
              <w:spacing w:after="20"/>
            </w:pPr>
            <w:r/>
            <w:r>
              <w:rPr>
                <w:rFonts w:ascii="Aptos" w:hAnsi="Aptos"/>
                <w:b w:val="0"/>
                <w:sz w:val="15"/>
              </w:rPr>
              <w:t>AC-08</w:t>
            </w:r>
          </w:p>
        </w:tc>
        <w:tc>
          <w:tcPr>
            <w:tcW w:type="dxa" w:w="5328"/>
            <w:vAlign w:val="center"/>
            <w:shd w:fill="F4F7FA"/>
          </w:tcPr>
          <w:p>
            <w:pPr>
              <w:spacing w:after="20"/>
            </w:pPr>
            <w:r/>
            <w:r>
              <w:rPr>
                <w:rFonts w:ascii="Aptos" w:hAnsi="Aptos"/>
                <w:b w:val="0"/>
                <w:sz w:val="15"/>
              </w:rPr>
              <w:t>Release/refund transitions are blocked when mandatory gates or permissions are missing.</w:t>
            </w:r>
          </w:p>
        </w:tc>
        <w:tc>
          <w:tcPr>
            <w:tcW w:type="dxa" w:w="3600"/>
            <w:vAlign w:val="center"/>
            <w:shd w:fill="F4F7FA"/>
          </w:tcPr>
          <w:p>
            <w:pPr>
              <w:spacing w:after="20"/>
            </w:pPr>
            <w:r/>
            <w:r>
              <w:rPr>
                <w:rFonts w:ascii="Aptos" w:hAnsi="Aptos"/>
                <w:b w:val="0"/>
                <w:sz w:val="15"/>
              </w:rPr>
              <w:t>Backend workflow tests.</w:t>
            </w:r>
          </w:p>
        </w:tc>
      </w:tr>
      <w:tr>
        <w:trPr>
          <w:cantSplit/>
        </w:trPr>
        <w:tc>
          <w:tcPr>
            <w:tcW w:type="dxa" w:w="1008"/>
            <w:vAlign w:val="center"/>
          </w:tcPr>
          <w:p>
            <w:pPr>
              <w:spacing w:after="20"/>
            </w:pPr>
            <w:r/>
            <w:r>
              <w:rPr>
                <w:rFonts w:ascii="Aptos" w:hAnsi="Aptos"/>
                <w:b w:val="0"/>
                <w:sz w:val="15"/>
              </w:rPr>
              <w:t>AC-09</w:t>
            </w:r>
          </w:p>
        </w:tc>
        <w:tc>
          <w:tcPr>
            <w:tcW w:type="dxa" w:w="5328"/>
            <w:vAlign w:val="center"/>
          </w:tcPr>
          <w:p>
            <w:pPr>
              <w:spacing w:after="20"/>
            </w:pPr>
            <w:r/>
            <w:r>
              <w:rPr>
                <w:rFonts w:ascii="Aptos" w:hAnsi="Aptos"/>
                <w:b w:val="0"/>
                <w:sz w:val="15"/>
              </w:rPr>
              <w:t>Every important status change, check and decision records actor/time/reason as applicable.</w:t>
            </w:r>
          </w:p>
        </w:tc>
        <w:tc>
          <w:tcPr>
            <w:tcW w:type="dxa" w:w="3600"/>
            <w:vAlign w:val="center"/>
          </w:tcPr>
          <w:p>
            <w:pPr>
              <w:spacing w:after="20"/>
            </w:pPr>
            <w:r/>
            <w:r>
              <w:rPr>
                <w:rFonts w:ascii="Aptos" w:hAnsi="Aptos"/>
                <w:b w:val="0"/>
                <w:sz w:val="15"/>
              </w:rPr>
              <w:t>Audit completeness test.</w:t>
            </w:r>
          </w:p>
        </w:tc>
      </w:tr>
      <w:tr>
        <w:trPr>
          <w:cantSplit/>
        </w:trPr>
        <w:tc>
          <w:tcPr>
            <w:tcW w:type="dxa" w:w="1008"/>
            <w:vAlign w:val="center"/>
            <w:shd w:fill="F4F7FA"/>
          </w:tcPr>
          <w:p>
            <w:pPr>
              <w:spacing w:after="20"/>
            </w:pPr>
            <w:r/>
            <w:r>
              <w:rPr>
                <w:rFonts w:ascii="Aptos" w:hAnsi="Aptos"/>
                <w:b w:val="0"/>
                <w:sz w:val="15"/>
              </w:rPr>
              <w:t>AC-10</w:t>
            </w:r>
          </w:p>
        </w:tc>
        <w:tc>
          <w:tcPr>
            <w:tcW w:type="dxa" w:w="5328"/>
            <w:vAlign w:val="center"/>
            <w:shd w:fill="F4F7FA"/>
          </w:tcPr>
          <w:p>
            <w:pPr>
              <w:spacing w:after="20"/>
            </w:pPr>
            <w:r/>
            <w:r>
              <w:rPr>
                <w:rFonts w:ascii="Aptos" w:hAnsi="Aptos"/>
                <w:b w:val="0"/>
                <w:sz w:val="15"/>
              </w:rPr>
              <w:t>Dossier includes actual checks, evidence, limitations, unresolved items and human decisions.</w:t>
            </w:r>
          </w:p>
        </w:tc>
        <w:tc>
          <w:tcPr>
            <w:tcW w:type="dxa" w:w="3600"/>
            <w:vAlign w:val="center"/>
            <w:shd w:fill="F4F7FA"/>
          </w:tcPr>
          <w:p>
            <w:pPr>
              <w:spacing w:after="20"/>
            </w:pPr>
            <w:r/>
            <w:r>
              <w:rPr>
                <w:rFonts w:ascii="Aptos" w:hAnsi="Aptos"/>
                <w:b w:val="0"/>
                <w:sz w:val="15"/>
              </w:rPr>
              <w:t>Generated report inspection test.</w:t>
            </w:r>
          </w:p>
        </w:tc>
      </w:tr>
      <w:tr>
        <w:trPr>
          <w:cantSplit/>
        </w:trPr>
        <w:tc>
          <w:tcPr>
            <w:tcW w:type="dxa" w:w="1008"/>
            <w:vAlign w:val="center"/>
          </w:tcPr>
          <w:p>
            <w:pPr>
              <w:spacing w:after="20"/>
            </w:pPr>
            <w:r/>
            <w:r>
              <w:rPr>
                <w:rFonts w:ascii="Aptos" w:hAnsi="Aptos"/>
                <w:b w:val="0"/>
                <w:sz w:val="15"/>
              </w:rPr>
              <w:t>AC-11</w:t>
            </w:r>
          </w:p>
        </w:tc>
        <w:tc>
          <w:tcPr>
            <w:tcW w:type="dxa" w:w="5328"/>
            <w:vAlign w:val="center"/>
          </w:tcPr>
          <w:p>
            <w:pPr>
              <w:spacing w:after="20"/>
            </w:pPr>
            <w:r/>
            <w:r>
              <w:rPr>
                <w:rFonts w:ascii="Aptos" w:hAnsi="Aptos"/>
                <w:b w:val="0"/>
                <w:sz w:val="15"/>
              </w:rPr>
              <w:t>Dashboard counts and lists are derived from database records, not hardcoded demo KPIs.</w:t>
            </w:r>
          </w:p>
        </w:tc>
        <w:tc>
          <w:tcPr>
            <w:tcW w:type="dxa" w:w="3600"/>
            <w:vAlign w:val="center"/>
          </w:tcPr>
          <w:p>
            <w:pPr>
              <w:spacing w:after="20"/>
            </w:pPr>
            <w:r/>
            <w:r>
              <w:rPr>
                <w:rFonts w:ascii="Aptos" w:hAnsi="Aptos"/>
                <w:b w:val="0"/>
                <w:sz w:val="15"/>
              </w:rPr>
              <w:t>Seed/modify records and verify dashboard changes.</w:t>
            </w:r>
          </w:p>
        </w:tc>
      </w:tr>
      <w:tr>
        <w:trPr>
          <w:cantSplit/>
        </w:trPr>
        <w:tc>
          <w:tcPr>
            <w:tcW w:type="dxa" w:w="1008"/>
            <w:vAlign w:val="center"/>
            <w:shd w:fill="F4F7FA"/>
          </w:tcPr>
          <w:p>
            <w:pPr>
              <w:spacing w:after="20"/>
            </w:pPr>
            <w:r/>
            <w:r>
              <w:rPr>
                <w:rFonts w:ascii="Aptos" w:hAnsi="Aptos"/>
                <w:b w:val="0"/>
                <w:sz w:val="15"/>
              </w:rPr>
              <w:t>AC-12</w:t>
            </w:r>
          </w:p>
        </w:tc>
        <w:tc>
          <w:tcPr>
            <w:tcW w:type="dxa" w:w="5328"/>
            <w:vAlign w:val="center"/>
            <w:shd w:fill="F4F7FA"/>
          </w:tcPr>
          <w:p>
            <w:pPr>
              <w:spacing w:after="20"/>
            </w:pPr>
            <w:r/>
            <w:r>
              <w:rPr>
                <w:rFonts w:ascii="Aptos" w:hAnsi="Aptos"/>
                <w:b w:val="0"/>
                <w:sz w:val="15"/>
              </w:rPr>
              <w:t>Simulated bank verification is visibly labelled and cannot be represented as live confirmation.</w:t>
            </w:r>
          </w:p>
        </w:tc>
        <w:tc>
          <w:tcPr>
            <w:tcW w:type="dxa" w:w="3600"/>
            <w:vAlign w:val="center"/>
            <w:shd w:fill="F4F7FA"/>
          </w:tcPr>
          <w:p>
            <w:pPr>
              <w:spacing w:after="20"/>
            </w:pPr>
            <w:r/>
            <w:r>
              <w:rPr>
                <w:rFonts w:ascii="Aptos" w:hAnsi="Aptos"/>
                <w:b w:val="0"/>
                <w:sz w:val="15"/>
              </w:rPr>
              <w:t>UI, database and report tests.</w:t>
            </w:r>
          </w:p>
        </w:tc>
      </w:tr>
      <w:tr>
        <w:trPr>
          <w:cantSplit/>
        </w:trPr>
        <w:tc>
          <w:tcPr>
            <w:tcW w:type="dxa" w:w="1008"/>
            <w:vAlign w:val="center"/>
          </w:tcPr>
          <w:p>
            <w:pPr>
              <w:spacing w:after="20"/>
            </w:pPr>
            <w:r/>
            <w:r>
              <w:rPr>
                <w:rFonts w:ascii="Aptos" w:hAnsi="Aptos"/>
                <w:b w:val="0"/>
                <w:sz w:val="15"/>
              </w:rPr>
              <w:t>AC-13</w:t>
            </w:r>
          </w:p>
        </w:tc>
        <w:tc>
          <w:tcPr>
            <w:tcW w:type="dxa" w:w="5328"/>
            <w:vAlign w:val="center"/>
          </w:tcPr>
          <w:p>
            <w:pPr>
              <w:spacing w:after="20"/>
            </w:pPr>
            <w:r/>
            <w:r>
              <w:rPr>
                <w:rFonts w:ascii="Aptos" w:hAnsi="Aptos"/>
                <w:b w:val="0"/>
                <w:sz w:val="15"/>
              </w:rPr>
              <w:t>Language switching and read-aloud work for supported content/voices; unsupported cases degrade gracefully.</w:t>
            </w:r>
          </w:p>
        </w:tc>
        <w:tc>
          <w:tcPr>
            <w:tcW w:type="dxa" w:w="3600"/>
            <w:vAlign w:val="center"/>
          </w:tcPr>
          <w:p>
            <w:pPr>
              <w:spacing w:after="20"/>
            </w:pPr>
            <w:r/>
            <w:r>
              <w:rPr>
                <w:rFonts w:ascii="Aptos" w:hAnsi="Aptos"/>
                <w:b w:val="0"/>
                <w:sz w:val="15"/>
              </w:rPr>
              <w:t>Browser/device test notes.</w:t>
            </w:r>
          </w:p>
        </w:tc>
      </w:tr>
      <w:tr>
        <w:trPr>
          <w:cantSplit/>
        </w:trPr>
        <w:tc>
          <w:tcPr>
            <w:tcW w:type="dxa" w:w="1008"/>
            <w:vAlign w:val="center"/>
            <w:shd w:fill="F4F7FA"/>
          </w:tcPr>
          <w:p>
            <w:pPr>
              <w:spacing w:after="20"/>
            </w:pPr>
            <w:r/>
            <w:r>
              <w:rPr>
                <w:rFonts w:ascii="Aptos" w:hAnsi="Aptos"/>
                <w:b w:val="0"/>
                <w:sz w:val="15"/>
              </w:rPr>
              <w:t>AC-14</w:t>
            </w:r>
          </w:p>
        </w:tc>
        <w:tc>
          <w:tcPr>
            <w:tcW w:type="dxa" w:w="5328"/>
            <w:vAlign w:val="center"/>
            <w:shd w:fill="F4F7FA"/>
          </w:tcPr>
          <w:p>
            <w:pPr>
              <w:spacing w:after="20"/>
            </w:pPr>
            <w:r/>
            <w:r>
              <w:rPr>
                <w:rFonts w:ascii="Aptos" w:hAnsi="Aptos"/>
                <w:b w:val="0"/>
                <w:sz w:val="15"/>
              </w:rPr>
              <w:t>Keyboard navigation, focus indicators and labels are checked on critical flows.</w:t>
            </w:r>
          </w:p>
        </w:tc>
        <w:tc>
          <w:tcPr>
            <w:tcW w:type="dxa" w:w="3600"/>
            <w:vAlign w:val="center"/>
            <w:shd w:fill="F4F7FA"/>
          </w:tcPr>
          <w:p>
            <w:pPr>
              <w:spacing w:after="20"/>
            </w:pPr>
            <w:r/>
            <w:r>
              <w:rPr>
                <w:rFonts w:ascii="Aptos" w:hAnsi="Aptos"/>
                <w:b w:val="0"/>
                <w:sz w:val="15"/>
              </w:rPr>
              <w:t>Accessibility checklist and issue log.</w:t>
            </w:r>
          </w:p>
        </w:tc>
      </w:tr>
      <w:tr>
        <w:trPr>
          <w:cantSplit/>
        </w:trPr>
        <w:tc>
          <w:tcPr>
            <w:tcW w:type="dxa" w:w="1008"/>
            <w:vAlign w:val="center"/>
          </w:tcPr>
          <w:p>
            <w:pPr>
              <w:spacing w:after="20"/>
            </w:pPr>
            <w:r/>
            <w:r>
              <w:rPr>
                <w:rFonts w:ascii="Aptos" w:hAnsi="Aptos"/>
                <w:b w:val="0"/>
                <w:sz w:val="15"/>
              </w:rPr>
              <w:t>AC-15</w:t>
            </w:r>
          </w:p>
        </w:tc>
        <w:tc>
          <w:tcPr>
            <w:tcW w:type="dxa" w:w="5328"/>
            <w:vAlign w:val="center"/>
          </w:tcPr>
          <w:p>
            <w:pPr>
              <w:spacing w:after="20"/>
            </w:pPr>
            <w:r/>
            <w:r>
              <w:rPr>
                <w:rFonts w:ascii="Aptos" w:hAnsi="Aptos"/>
                <w:b w:val="0"/>
                <w:sz w:val="15"/>
              </w:rPr>
              <w:t>Evaluation results are reproducible and clearly scoped to synthetic test data.</w:t>
            </w:r>
          </w:p>
        </w:tc>
        <w:tc>
          <w:tcPr>
            <w:tcW w:type="dxa" w:w="3600"/>
            <w:vAlign w:val="center"/>
          </w:tcPr>
          <w:p>
            <w:pPr>
              <w:spacing w:after="20"/>
            </w:pPr>
            <w:r/>
            <w:r>
              <w:rPr>
                <w:rFonts w:ascii="Aptos" w:hAnsi="Aptos"/>
                <w:b w:val="0"/>
                <w:sz w:val="15"/>
              </w:rPr>
              <w:t>Dataset generator/seed, test command and result log.</w:t>
            </w:r>
          </w:p>
        </w:tc>
      </w:tr>
    </w:tbl>
    <w:p>
      <w:pPr>
        <w:spacing w:after="0"/>
      </w:pPr>
    </w:p>
    <w:p>
      <w:pPr>
        <w:pStyle w:val="Heading1"/>
      </w:pPr>
      <w:r>
        <w:t>14. Three-person execution plan and build order</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04"/>
            <w:vAlign w:val="center"/>
            <w:shd w:fill="16324F"/>
          </w:tcPr>
          <w:p>
            <w:pPr>
              <w:spacing w:after="20"/>
            </w:pPr>
            <w:r/>
            <w:r>
              <w:rPr>
                <w:rFonts w:ascii="Aptos" w:hAnsi="Aptos"/>
                <w:b/>
                <w:color w:val="FFFFFF"/>
                <w:sz w:val="15"/>
              </w:rPr>
              <w:t>Workstream</w:t>
            </w:r>
          </w:p>
        </w:tc>
        <w:tc>
          <w:tcPr>
            <w:tcW w:type="dxa" w:w="3384"/>
            <w:vAlign w:val="center"/>
            <w:shd w:fill="16324F"/>
          </w:tcPr>
          <w:p>
            <w:pPr>
              <w:spacing w:after="20"/>
            </w:pPr>
            <w:r/>
            <w:r>
              <w:rPr>
                <w:rFonts w:ascii="Aptos" w:hAnsi="Aptos"/>
                <w:b/>
                <w:color w:val="FFFFFF"/>
                <w:sz w:val="15"/>
              </w:rPr>
              <w:t>Ownership</w:t>
            </w:r>
          </w:p>
        </w:tc>
        <w:tc>
          <w:tcPr>
            <w:tcW w:type="dxa" w:w="4248"/>
            <w:vAlign w:val="center"/>
            <w:shd w:fill="16324F"/>
          </w:tcPr>
          <w:p>
            <w:pPr>
              <w:spacing w:after="20"/>
            </w:pPr>
            <w:r/>
            <w:r>
              <w:rPr>
                <w:rFonts w:ascii="Aptos" w:hAnsi="Aptos"/>
                <w:b/>
                <w:color w:val="FFFFFF"/>
                <w:sz w:val="15"/>
              </w:rPr>
              <w:t>Deliverables</w:t>
            </w:r>
          </w:p>
        </w:tc>
      </w:tr>
      <w:tr>
        <w:trPr>
          <w:cantSplit/>
        </w:trPr>
        <w:tc>
          <w:tcPr>
            <w:tcW w:type="dxa" w:w="2304"/>
            <w:vAlign w:val="center"/>
          </w:tcPr>
          <w:p>
            <w:pPr>
              <w:spacing w:after="20"/>
            </w:pPr>
            <w:r/>
            <w:r>
              <w:rPr>
                <w:rFonts w:ascii="Aptos" w:hAnsi="Aptos"/>
                <w:b w:val="0"/>
                <w:sz w:val="15"/>
              </w:rPr>
              <w:t>Person A — Backend/workflow</w:t>
            </w:r>
          </w:p>
        </w:tc>
        <w:tc>
          <w:tcPr>
            <w:tcW w:type="dxa" w:w="3384"/>
            <w:vAlign w:val="center"/>
          </w:tcPr>
          <w:p>
            <w:pPr>
              <w:spacing w:after="20"/>
            </w:pPr>
            <w:r/>
            <w:r>
              <w:rPr>
                <w:rFonts w:ascii="Aptos" w:hAnsi="Aptos"/>
                <w:b w:val="0"/>
                <w:sz w:val="15"/>
              </w:rPr>
              <w:t>FastAPI, SQLAlchemy models, auth/RBAC, institution isolation, rules/configuration, release/refund workflow, audit events, APIs and tests.</w:t>
            </w:r>
          </w:p>
        </w:tc>
        <w:tc>
          <w:tcPr>
            <w:tcW w:type="dxa" w:w="4248"/>
            <w:vAlign w:val="center"/>
          </w:tcPr>
          <w:p>
            <w:pPr>
              <w:spacing w:after="20"/>
            </w:pPr>
            <w:r/>
            <w:r>
              <w:rPr>
                <w:rFonts w:ascii="Aptos" w:hAnsi="Aptos"/>
                <w:b w:val="0"/>
                <w:sz w:val="15"/>
              </w:rPr>
              <w:t>Working API, database, permission and workflow tests.</w:t>
            </w:r>
          </w:p>
        </w:tc>
      </w:tr>
      <w:tr>
        <w:trPr>
          <w:cantSplit/>
        </w:trPr>
        <w:tc>
          <w:tcPr>
            <w:tcW w:type="dxa" w:w="2304"/>
            <w:vAlign w:val="center"/>
            <w:shd w:fill="F4F7FA"/>
          </w:tcPr>
          <w:p>
            <w:pPr>
              <w:spacing w:after="20"/>
            </w:pPr>
            <w:r/>
            <w:r>
              <w:rPr>
                <w:rFonts w:ascii="Aptos" w:hAnsi="Aptos"/>
                <w:b w:val="0"/>
                <w:sz w:val="15"/>
              </w:rPr>
              <w:t>Person B — Frontend/accessibility</w:t>
            </w:r>
          </w:p>
        </w:tc>
        <w:tc>
          <w:tcPr>
            <w:tcW w:type="dxa" w:w="3384"/>
            <w:vAlign w:val="center"/>
            <w:shd w:fill="F4F7FA"/>
          </w:tcPr>
          <w:p>
            <w:pPr>
              <w:spacing w:after="20"/>
            </w:pPr>
            <w:r/>
            <w:r>
              <w:rPr>
                <w:rFonts w:ascii="Aptos" w:hAnsi="Aptos"/>
                <w:b w:val="0"/>
                <w:sz w:val="15"/>
              </w:rPr>
              <w:t>React UI, dashboard, FDR forms, document lists, review queue, deficiency flow, language selector, read-aloud, responsive/accessibility essentials.</w:t>
            </w:r>
          </w:p>
        </w:tc>
        <w:tc>
          <w:tcPr>
            <w:tcW w:type="dxa" w:w="4248"/>
            <w:vAlign w:val="center"/>
            <w:shd w:fill="F4F7FA"/>
          </w:tcPr>
          <w:p>
            <w:pPr>
              <w:spacing w:after="20"/>
            </w:pPr>
            <w:r/>
            <w:r>
              <w:rPr>
                <w:rFonts w:ascii="Aptos" w:hAnsi="Aptos"/>
                <w:b w:val="0"/>
                <w:sz w:val="15"/>
              </w:rPr>
              <w:t>End-to-end screens connected to API; no hardcoded business records or KPI counts.</w:t>
            </w:r>
          </w:p>
        </w:tc>
      </w:tr>
      <w:tr>
        <w:trPr>
          <w:cantSplit/>
        </w:trPr>
        <w:tc>
          <w:tcPr>
            <w:tcW w:type="dxa" w:w="2304"/>
            <w:vAlign w:val="center"/>
          </w:tcPr>
          <w:p>
            <w:pPr>
              <w:spacing w:after="20"/>
            </w:pPr>
            <w:r/>
            <w:r>
              <w:rPr>
                <w:rFonts w:ascii="Aptos" w:hAnsi="Aptos"/>
                <w:b w:val="0"/>
                <w:sz w:val="15"/>
              </w:rPr>
              <w:t>Person C — Verification/data/testing</w:t>
            </w:r>
          </w:p>
        </w:tc>
        <w:tc>
          <w:tcPr>
            <w:tcW w:type="dxa" w:w="3384"/>
            <w:vAlign w:val="center"/>
          </w:tcPr>
          <w:p>
            <w:pPr>
              <w:spacing w:after="20"/>
            </w:pPr>
            <w:r/>
            <w:r>
              <w:rPr>
                <w:rFonts w:ascii="Aptos" w:hAnsi="Aptos"/>
                <w:b w:val="0"/>
                <w:sz w:val="15"/>
              </w:rPr>
              <w:t>Upload safety, SHA-256, configurable consistency checks, synthetic data/scenarios, OCR adapter investigation, dossier/report, evaluation scripts and documentation.</w:t>
            </w:r>
          </w:p>
        </w:tc>
        <w:tc>
          <w:tcPr>
            <w:tcW w:type="dxa" w:w="4248"/>
            <w:vAlign w:val="center"/>
          </w:tcPr>
          <w:p>
            <w:pPr>
              <w:spacing w:after="20"/>
            </w:pPr>
            <w:r/>
            <w:r>
              <w:rPr>
                <w:rFonts w:ascii="Aptos" w:hAnsi="Aptos"/>
                <w:b w:val="0"/>
                <w:sz w:val="15"/>
              </w:rPr>
              <w:t>Verification services, synthetic fixtures, scenario results and dossier tests.</w:t>
            </w:r>
          </w:p>
        </w:tc>
      </w:tr>
      <w:tr>
        <w:trPr>
          <w:cantSplit/>
        </w:trPr>
        <w:tc>
          <w:tcPr>
            <w:tcW w:type="dxa" w:w="2304"/>
            <w:vAlign w:val="center"/>
            <w:shd w:fill="F4F7FA"/>
          </w:tcPr>
          <w:p>
            <w:pPr>
              <w:spacing w:after="20"/>
            </w:pPr>
            <w:r/>
            <w:r>
              <w:rPr>
                <w:rFonts w:ascii="Aptos" w:hAnsi="Aptos"/>
                <w:b w:val="0"/>
                <w:sz w:val="15"/>
              </w:rPr>
              <w:t>Shared integration</w:t>
            </w:r>
          </w:p>
        </w:tc>
        <w:tc>
          <w:tcPr>
            <w:tcW w:type="dxa" w:w="3384"/>
            <w:vAlign w:val="center"/>
            <w:shd w:fill="F4F7FA"/>
          </w:tcPr>
          <w:p>
            <w:pPr>
              <w:spacing w:after="20"/>
            </w:pPr>
            <w:r/>
            <w:r>
              <w:rPr>
                <w:rFonts w:ascii="Aptos" w:hAnsi="Aptos"/>
                <w:b w:val="0"/>
                <w:sz w:val="15"/>
              </w:rPr>
              <w:t>All three</w:t>
            </w:r>
          </w:p>
        </w:tc>
        <w:tc>
          <w:tcPr>
            <w:tcW w:type="dxa" w:w="4248"/>
            <w:vAlign w:val="center"/>
            <w:shd w:fill="F4F7FA"/>
          </w:tcPr>
          <w:p>
            <w:pPr>
              <w:spacing w:after="20"/>
            </w:pPr>
            <w:r/>
            <w:r>
              <w:rPr>
                <w:rFonts w:ascii="Aptos" w:hAnsi="Aptos"/>
                <w:b w:val="0"/>
                <w:sz w:val="15"/>
              </w:rPr>
              <w:t>Git branches, API contract, environment setup, integration test, demo script, slides and final QA.</w:t>
            </w:r>
          </w:p>
        </w:tc>
      </w:tr>
    </w:tbl>
    <w:p>
      <w:pPr>
        <w:spacing w:after="0"/>
      </w:pPr>
    </w:p>
    <w:p>
      <w:pPr>
        <w:pStyle w:val="Heading2"/>
      </w:pPr>
      <w:r>
        <w:t>Recommended build sequence</w:t>
      </w:r>
    </w:p>
    <w:p>
      <w:pPr>
        <w:pStyle w:val="ListNumber"/>
        <w:spacing w:after="40"/>
      </w:pPr>
      <w:r>
        <w:t>Freeze scope, entity schema, statuses, role permissions, API contract and configuration approach.</w:t>
      </w:r>
    </w:p>
    <w:p>
      <w:pPr>
        <w:pStyle w:val="ListNumber"/>
        <w:spacing w:after="40"/>
      </w:pPr>
      <w:r>
        <w:t>Create project skeleton, environment instructions, seed script and synthetic-only demo banner.</w:t>
      </w:r>
    </w:p>
    <w:p>
      <w:pPr>
        <w:pStyle w:val="ListNumber"/>
        <w:spacing w:after="40"/>
      </w:pPr>
      <w:r>
        <w:t>Implement authentication/roles and institution isolation before document access.</w:t>
      </w:r>
    </w:p>
    <w:p>
      <w:pPr>
        <w:pStyle w:val="ListNumber"/>
        <w:spacing w:after="40"/>
      </w:pPr>
      <w:r>
        <w:t>Implement FDR registry, secure upload, document versions and SHA-256.</w:t>
      </w:r>
    </w:p>
    <w:p>
      <w:pPr>
        <w:pStyle w:val="ListNumber"/>
        <w:spacing w:after="40"/>
      </w:pPr>
      <w:r>
        <w:t>Implement database-backed checklist/rules and cross-field consistency checks.</w:t>
      </w:r>
    </w:p>
    <w:p>
      <w:pPr>
        <w:pStyle w:val="ListNumber"/>
        <w:spacing w:after="40"/>
      </w:pPr>
      <w:r>
        <w:t>Implement deficiency, renewal/replacement and release/refund workflows with backend transition gates.</w:t>
      </w:r>
    </w:p>
    <w:p>
      <w:pPr>
        <w:pStyle w:val="ListNumber"/>
        <w:spacing w:after="40"/>
      </w:pPr>
      <w:r>
        <w:t>Implement dashboard/search, audit history and basic reports.</w:t>
      </w:r>
    </w:p>
    <w:p>
      <w:pPr>
        <w:pStyle w:val="ListNumber"/>
        <w:spacing w:after="40"/>
      </w:pPr>
      <w:r>
        <w:t>Implement maturity scheduler/reminder states and test date boundaries.</w:t>
      </w:r>
    </w:p>
    <w:p>
      <w:pPr>
        <w:pStyle w:val="ListNumber"/>
        <w:spacing w:after="40"/>
      </w:pPr>
      <w:r>
        <w:t>Implement verification dossier and all synthetic scenarios.</w:t>
      </w:r>
    </w:p>
    <w:p>
      <w:pPr>
        <w:pStyle w:val="ListNumber"/>
        <w:spacing w:after="40"/>
      </w:pPr>
      <w:r>
        <w:t>Add OCR/signature checks only after dependency and fallback behaviour is confirmed.</w:t>
      </w:r>
    </w:p>
    <w:p>
      <w:pPr>
        <w:pStyle w:val="ListNumber"/>
        <w:spacing w:after="40"/>
      </w:pPr>
      <w:r>
        <w:t>Add multilingual/read-aloud/accessibility improvements and test them in target browsers.</w:t>
      </w:r>
    </w:p>
    <w:p>
      <w:pPr>
        <w:pStyle w:val="ListNumber"/>
        <w:spacing w:after="40"/>
      </w:pPr>
      <w:r>
        <w:t>Run acceptance tests, collect measured metrics, rehearse demo and verify every slide claim against evidence.</w:t>
      </w:r>
    </w:p>
    <w:p>
      <w:pPr>
        <w:pStyle w:val="Heading1"/>
      </w:pPr>
      <w:r>
        <w:t>15. Risks, dependencies and mitigations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520"/>
            <w:vAlign w:val="center"/>
            <w:shd w:fill="16324F"/>
          </w:tcPr>
          <w:p>
            <w:pPr>
              <w:spacing w:after="20"/>
            </w:pPr>
            <w:r/>
            <w:r>
              <w:rPr>
                <w:rFonts w:ascii="Aptos" w:hAnsi="Aptos"/>
                <w:b/>
                <w:color w:val="FFFFFF"/>
                <w:sz w:val="15"/>
              </w:rPr>
              <w:t>Risk / dependency</w:t>
            </w:r>
          </w:p>
        </w:tc>
        <w:tc>
          <w:tcPr>
            <w:tcW w:type="dxa" w:w="2448"/>
            <w:vAlign w:val="center"/>
            <w:shd w:fill="16324F"/>
          </w:tcPr>
          <w:p>
            <w:pPr>
              <w:spacing w:after="20"/>
            </w:pPr>
            <w:r/>
            <w:r>
              <w:rPr>
                <w:rFonts w:ascii="Aptos" w:hAnsi="Aptos"/>
                <w:b/>
                <w:color w:val="FFFFFF"/>
                <w:sz w:val="15"/>
              </w:rPr>
              <w:t>Impact</w:t>
            </w:r>
          </w:p>
        </w:tc>
        <w:tc>
          <w:tcPr>
            <w:tcW w:type="dxa" w:w="4968"/>
            <w:vAlign w:val="center"/>
            <w:shd w:fill="16324F"/>
          </w:tcPr>
          <w:p>
            <w:pPr>
              <w:spacing w:after="20"/>
            </w:pPr>
            <w:r/>
            <w:r>
              <w:rPr>
                <w:rFonts w:ascii="Aptos" w:hAnsi="Aptos"/>
                <w:b/>
                <w:color w:val="FFFFFF"/>
                <w:sz w:val="15"/>
              </w:rPr>
              <w:t>Mitigation</w:t>
            </w:r>
          </w:p>
        </w:tc>
      </w:tr>
      <w:tr>
        <w:trPr>
          <w:cantSplit/>
        </w:trPr>
        <w:tc>
          <w:tcPr>
            <w:tcW w:type="dxa" w:w="2520"/>
            <w:vAlign w:val="center"/>
          </w:tcPr>
          <w:p>
            <w:pPr>
              <w:spacing w:after="20"/>
            </w:pPr>
            <w:r/>
            <w:r>
              <w:rPr>
                <w:rFonts w:ascii="Aptos" w:hAnsi="Aptos"/>
                <w:b w:val="0"/>
                <w:sz w:val="15"/>
              </w:rPr>
              <w:t>Current AICTE portal may already provide some proposed functions.</w:t>
            </w:r>
          </w:p>
        </w:tc>
        <w:tc>
          <w:tcPr>
            <w:tcW w:type="dxa" w:w="2448"/>
            <w:vAlign w:val="center"/>
          </w:tcPr>
          <w:p>
            <w:pPr>
              <w:spacing w:after="20"/>
            </w:pPr>
            <w:r/>
            <w:r>
              <w:rPr>
                <w:rFonts w:ascii="Aptos" w:hAnsi="Aptos"/>
                <w:b w:val="0"/>
                <w:sz w:val="15"/>
              </w:rPr>
              <w:t>Overstated novelty or inaccurate gap claims.</w:t>
            </w:r>
          </w:p>
        </w:tc>
        <w:tc>
          <w:tcPr>
            <w:tcW w:type="dxa" w:w="4968"/>
            <w:vAlign w:val="center"/>
          </w:tcPr>
          <w:p>
            <w:pPr>
              <w:spacing w:after="20"/>
            </w:pPr>
            <w:r/>
            <w:r>
              <w:rPr>
                <w:rFonts w:ascii="Aptos" w:hAnsi="Aptos"/>
                <w:b w:val="0"/>
                <w:sz w:val="15"/>
              </w:rPr>
              <w:t>Frame as complementary prototype; request clarification or perform legitimate current-state discovery before claiming gaps.</w:t>
            </w:r>
          </w:p>
        </w:tc>
      </w:tr>
      <w:tr>
        <w:trPr>
          <w:cantSplit/>
        </w:trPr>
        <w:tc>
          <w:tcPr>
            <w:tcW w:type="dxa" w:w="2520"/>
            <w:vAlign w:val="center"/>
            <w:shd w:fill="F4F7FA"/>
          </w:tcPr>
          <w:p>
            <w:pPr>
              <w:spacing w:after="20"/>
            </w:pPr>
            <w:r/>
            <w:r>
              <w:rPr>
                <w:rFonts w:ascii="Aptos" w:hAnsi="Aptos"/>
                <w:b w:val="0"/>
                <w:sz w:val="15"/>
              </w:rPr>
              <w:t>No authorised bank API access.</w:t>
            </w:r>
          </w:p>
        </w:tc>
        <w:tc>
          <w:tcPr>
            <w:tcW w:type="dxa" w:w="2448"/>
            <w:vAlign w:val="center"/>
            <w:shd w:fill="F4F7FA"/>
          </w:tcPr>
          <w:p>
            <w:pPr>
              <w:spacing w:after="20"/>
            </w:pPr>
            <w:r/>
            <w:r>
              <w:rPr>
                <w:rFonts w:ascii="Aptos" w:hAnsi="Aptos"/>
                <w:b w:val="0"/>
                <w:sz w:val="15"/>
              </w:rPr>
              <w:t>Cannot demonstrate live bank confirmation.</w:t>
            </w:r>
          </w:p>
        </w:tc>
        <w:tc>
          <w:tcPr>
            <w:tcW w:type="dxa" w:w="4968"/>
            <w:vAlign w:val="center"/>
            <w:shd w:fill="F4F7FA"/>
          </w:tcPr>
          <w:p>
            <w:pPr>
              <w:spacing w:after="20"/>
            </w:pPr>
            <w:r/>
            <w:r>
              <w:rPr>
                <w:rFonts w:ascii="Aptos" w:hAnsi="Aptos"/>
                <w:b w:val="0"/>
                <w:sz w:val="15"/>
              </w:rPr>
              <w:t>Use manual verification records and clearly labelled simulated responses; keep integration adapter interface.</w:t>
            </w:r>
          </w:p>
        </w:tc>
      </w:tr>
      <w:tr>
        <w:trPr>
          <w:cantSplit/>
        </w:trPr>
        <w:tc>
          <w:tcPr>
            <w:tcW w:type="dxa" w:w="2520"/>
            <w:vAlign w:val="center"/>
          </w:tcPr>
          <w:p>
            <w:pPr>
              <w:spacing w:after="20"/>
            </w:pPr>
            <w:r/>
            <w:r>
              <w:rPr>
                <w:rFonts w:ascii="Aptos" w:hAnsi="Aptos"/>
                <w:b w:val="0"/>
                <w:sz w:val="15"/>
              </w:rPr>
              <w:t>No FDR-specific public dataset identified.</w:t>
            </w:r>
          </w:p>
        </w:tc>
        <w:tc>
          <w:tcPr>
            <w:tcW w:type="dxa" w:w="2448"/>
            <w:vAlign w:val="center"/>
          </w:tcPr>
          <w:p>
            <w:pPr>
              <w:spacing w:after="20"/>
            </w:pPr>
            <w:r/>
            <w:r>
              <w:rPr>
                <w:rFonts w:ascii="Aptos" w:hAnsi="Aptos"/>
                <w:b w:val="0"/>
                <w:sz w:val="15"/>
              </w:rPr>
              <w:t>Cannot validate real-world OCR/tampering performance.</w:t>
            </w:r>
          </w:p>
        </w:tc>
        <w:tc>
          <w:tcPr>
            <w:tcW w:type="dxa" w:w="4968"/>
            <w:vAlign w:val="center"/>
          </w:tcPr>
          <w:p>
            <w:pPr>
              <w:spacing w:after="20"/>
            </w:pPr>
            <w:r/>
            <w:r>
              <w:rPr>
                <w:rFonts w:ascii="Aptos" w:hAnsi="Aptos"/>
                <w:b w:val="0"/>
                <w:sz w:val="15"/>
              </w:rPr>
              <w:t>Use reproducible synthetic records for workflow tests; keep advanced ML future scope pending data permission.</w:t>
            </w:r>
          </w:p>
        </w:tc>
      </w:tr>
      <w:tr>
        <w:trPr>
          <w:cantSplit/>
        </w:trPr>
        <w:tc>
          <w:tcPr>
            <w:tcW w:type="dxa" w:w="2520"/>
            <w:vAlign w:val="center"/>
            <w:shd w:fill="F4F7FA"/>
          </w:tcPr>
          <w:p>
            <w:pPr>
              <w:spacing w:after="20"/>
            </w:pPr>
            <w:r/>
            <w:r>
              <w:rPr>
                <w:rFonts w:ascii="Aptos" w:hAnsi="Aptos"/>
                <w:b w:val="0"/>
                <w:sz w:val="15"/>
              </w:rPr>
              <w:t>OCR errors on low-quality scans or layouts.</w:t>
            </w:r>
          </w:p>
        </w:tc>
        <w:tc>
          <w:tcPr>
            <w:tcW w:type="dxa" w:w="2448"/>
            <w:vAlign w:val="center"/>
            <w:shd w:fill="F4F7FA"/>
          </w:tcPr>
          <w:p>
            <w:pPr>
              <w:spacing w:after="20"/>
            </w:pPr>
            <w:r/>
            <w:r>
              <w:rPr>
                <w:rFonts w:ascii="Aptos" w:hAnsi="Aptos"/>
                <w:b w:val="0"/>
                <w:sz w:val="15"/>
              </w:rPr>
              <w:t>Incorrect extracted amount/identifier/date.</w:t>
            </w:r>
          </w:p>
        </w:tc>
        <w:tc>
          <w:tcPr>
            <w:tcW w:type="dxa" w:w="4968"/>
            <w:vAlign w:val="center"/>
            <w:shd w:fill="F4F7FA"/>
          </w:tcPr>
          <w:p>
            <w:pPr>
              <w:spacing w:after="20"/>
            </w:pPr>
            <w:r/>
            <w:r>
              <w:rPr>
                <w:rFonts w:ascii="Aptos" w:hAnsi="Aptos"/>
                <w:b w:val="0"/>
                <w:sz w:val="15"/>
              </w:rPr>
              <w:t>Store confidence/source; manual correction; never auto-pass critical fields solely from OCR.</w:t>
            </w:r>
          </w:p>
        </w:tc>
      </w:tr>
      <w:tr>
        <w:trPr>
          <w:cantSplit/>
        </w:trPr>
        <w:tc>
          <w:tcPr>
            <w:tcW w:type="dxa" w:w="2520"/>
            <w:vAlign w:val="center"/>
          </w:tcPr>
          <w:p>
            <w:pPr>
              <w:spacing w:after="20"/>
            </w:pPr>
            <w:r/>
            <w:r>
              <w:rPr>
                <w:rFonts w:ascii="Aptos" w:hAnsi="Aptos"/>
                <w:b w:val="0"/>
                <w:sz w:val="15"/>
              </w:rPr>
              <w:t>False-positive duplicate/anomaly flags.</w:t>
            </w:r>
          </w:p>
        </w:tc>
        <w:tc>
          <w:tcPr>
            <w:tcW w:type="dxa" w:w="2448"/>
            <w:vAlign w:val="center"/>
          </w:tcPr>
          <w:p>
            <w:pPr>
              <w:spacing w:after="20"/>
            </w:pPr>
            <w:r/>
            <w:r>
              <w:rPr>
                <w:rFonts w:ascii="Aptos" w:hAnsi="Aptos"/>
                <w:b w:val="0"/>
                <w:sz w:val="15"/>
              </w:rPr>
              <w:t>Unnecessary review burden.</w:t>
            </w:r>
          </w:p>
        </w:tc>
        <w:tc>
          <w:tcPr>
            <w:tcW w:type="dxa" w:w="4968"/>
            <w:vAlign w:val="center"/>
          </w:tcPr>
          <w:p>
            <w:pPr>
              <w:spacing w:after="20"/>
            </w:pPr>
            <w:r/>
            <w:r>
              <w:rPr>
                <w:rFonts w:ascii="Aptos" w:hAnsi="Aptos"/>
                <w:b w:val="0"/>
                <w:sz w:val="15"/>
              </w:rPr>
              <w:t>Use explainable configurable matching; provide resolution and feedback; never call a flag proof of fraud.</w:t>
            </w:r>
          </w:p>
        </w:tc>
      </w:tr>
      <w:tr>
        <w:trPr>
          <w:cantSplit/>
        </w:trPr>
        <w:tc>
          <w:tcPr>
            <w:tcW w:type="dxa" w:w="2520"/>
            <w:vAlign w:val="center"/>
            <w:shd w:fill="F4F7FA"/>
          </w:tcPr>
          <w:p>
            <w:pPr>
              <w:spacing w:after="20"/>
            </w:pPr>
            <w:r/>
            <w:r>
              <w:rPr>
                <w:rFonts w:ascii="Aptos" w:hAnsi="Aptos"/>
                <w:b w:val="0"/>
                <w:sz w:val="15"/>
              </w:rPr>
              <w:t>Unclear or changed policy requirements.</w:t>
            </w:r>
          </w:p>
        </w:tc>
        <w:tc>
          <w:tcPr>
            <w:tcW w:type="dxa" w:w="2448"/>
            <w:vAlign w:val="center"/>
            <w:shd w:fill="F4F7FA"/>
          </w:tcPr>
          <w:p>
            <w:pPr>
              <w:spacing w:after="20"/>
            </w:pPr>
            <w:r/>
            <w:r>
              <w:rPr>
                <w:rFonts w:ascii="Aptos" w:hAnsi="Aptos"/>
                <w:b w:val="0"/>
                <w:sz w:val="15"/>
              </w:rPr>
              <w:t>Incorrect checklist or workflow.</w:t>
            </w:r>
          </w:p>
        </w:tc>
        <w:tc>
          <w:tcPr>
            <w:tcW w:type="dxa" w:w="4968"/>
            <w:vAlign w:val="center"/>
            <w:shd w:fill="F4F7FA"/>
          </w:tcPr>
          <w:p>
            <w:pPr>
              <w:spacing w:after="20"/>
            </w:pPr>
            <w:r/>
            <w:r>
              <w:rPr>
                <w:rFonts w:ascii="Aptos" w:hAnsi="Aptos"/>
                <w:b w:val="0"/>
                <w:sz w:val="15"/>
              </w:rPr>
              <w:t>Version policy rules with source/effective date; confirm applicable handbook and authorised process before deployment.</w:t>
            </w:r>
          </w:p>
        </w:tc>
      </w:tr>
      <w:tr>
        <w:trPr>
          <w:cantSplit/>
        </w:trPr>
        <w:tc>
          <w:tcPr>
            <w:tcW w:type="dxa" w:w="2520"/>
            <w:vAlign w:val="center"/>
          </w:tcPr>
          <w:p>
            <w:pPr>
              <w:spacing w:after="20"/>
            </w:pPr>
            <w:r/>
            <w:r>
              <w:rPr>
                <w:rFonts w:ascii="Aptos" w:hAnsi="Aptos"/>
                <w:b w:val="0"/>
                <w:sz w:val="15"/>
              </w:rPr>
              <w:t>Security flaws in upload or tenant isolation.</w:t>
            </w:r>
          </w:p>
        </w:tc>
        <w:tc>
          <w:tcPr>
            <w:tcW w:type="dxa" w:w="2448"/>
            <w:vAlign w:val="center"/>
          </w:tcPr>
          <w:p>
            <w:pPr>
              <w:spacing w:after="20"/>
            </w:pPr>
            <w:r/>
            <w:r>
              <w:rPr>
                <w:rFonts w:ascii="Aptos" w:hAnsi="Aptos"/>
                <w:b w:val="0"/>
                <w:sz w:val="15"/>
              </w:rPr>
              <w:t>Sensitive records may be exposed.</w:t>
            </w:r>
          </w:p>
        </w:tc>
        <w:tc>
          <w:tcPr>
            <w:tcW w:type="dxa" w:w="4968"/>
            <w:vAlign w:val="center"/>
          </w:tcPr>
          <w:p>
            <w:pPr>
              <w:spacing w:after="20"/>
            </w:pPr>
            <w:r/>
            <w:r>
              <w:rPr>
                <w:rFonts w:ascii="Aptos" w:hAnsi="Aptos"/>
                <w:b w:val="0"/>
                <w:sz w:val="15"/>
              </w:rPr>
              <w:t>Apply OWASP upload practices; backend access checks; private storage; test negative cases.</w:t>
            </w:r>
          </w:p>
        </w:tc>
      </w:tr>
      <w:tr>
        <w:trPr>
          <w:cantSplit/>
        </w:trPr>
        <w:tc>
          <w:tcPr>
            <w:tcW w:type="dxa" w:w="2520"/>
            <w:vAlign w:val="center"/>
            <w:shd w:fill="F4F7FA"/>
          </w:tcPr>
          <w:p>
            <w:pPr>
              <w:spacing w:after="20"/>
            </w:pPr>
            <w:r/>
            <w:r>
              <w:rPr>
                <w:rFonts w:ascii="Aptos" w:hAnsi="Aptos"/>
                <w:b w:val="0"/>
                <w:sz w:val="15"/>
              </w:rPr>
              <w:t>Feature overload under short deadline.</w:t>
            </w:r>
          </w:p>
        </w:tc>
        <w:tc>
          <w:tcPr>
            <w:tcW w:type="dxa" w:w="2448"/>
            <w:vAlign w:val="center"/>
            <w:shd w:fill="F4F7FA"/>
          </w:tcPr>
          <w:p>
            <w:pPr>
              <w:spacing w:after="20"/>
            </w:pPr>
            <w:r/>
            <w:r>
              <w:rPr>
                <w:rFonts w:ascii="Aptos" w:hAnsi="Aptos"/>
                <w:b w:val="0"/>
                <w:sz w:val="15"/>
              </w:rPr>
              <w:t>Incomplete core workflow.</w:t>
            </w:r>
          </w:p>
        </w:tc>
        <w:tc>
          <w:tcPr>
            <w:tcW w:type="dxa" w:w="4968"/>
            <w:vAlign w:val="center"/>
            <w:shd w:fill="F4F7FA"/>
          </w:tcPr>
          <w:p>
            <w:pPr>
              <w:spacing w:after="20"/>
            </w:pPr>
            <w:r/>
            <w:r>
              <w:rPr>
                <w:rFonts w:ascii="Aptos" w:hAnsi="Aptos"/>
                <w:b w:val="0"/>
                <w:sz w:val="15"/>
              </w:rPr>
              <w:t>Prioritise end-to-end P0; only add P1/P2 after acceptance criteria pass.</w:t>
            </w:r>
          </w:p>
        </w:tc>
      </w:tr>
      <w:tr>
        <w:trPr>
          <w:cantSplit/>
        </w:trPr>
        <w:tc>
          <w:tcPr>
            <w:tcW w:type="dxa" w:w="2520"/>
            <w:vAlign w:val="center"/>
          </w:tcPr>
          <w:p>
            <w:pPr>
              <w:spacing w:after="20"/>
            </w:pPr>
            <w:r/>
            <w:r>
              <w:rPr>
                <w:rFonts w:ascii="Aptos" w:hAnsi="Aptos"/>
                <w:b w:val="0"/>
                <w:sz w:val="15"/>
              </w:rPr>
              <w:t>Unproven savings/accuracy claims.</w:t>
            </w:r>
          </w:p>
        </w:tc>
        <w:tc>
          <w:tcPr>
            <w:tcW w:type="dxa" w:w="2448"/>
            <w:vAlign w:val="center"/>
          </w:tcPr>
          <w:p>
            <w:pPr>
              <w:spacing w:after="20"/>
            </w:pPr>
            <w:r/>
            <w:r>
              <w:rPr>
                <w:rFonts w:ascii="Aptos" w:hAnsi="Aptos"/>
                <w:b w:val="0"/>
                <w:sz w:val="15"/>
              </w:rPr>
              <w:t>Credibility and judging risk.</w:t>
            </w:r>
          </w:p>
        </w:tc>
        <w:tc>
          <w:tcPr>
            <w:tcW w:type="dxa" w:w="4968"/>
            <w:vAlign w:val="center"/>
          </w:tcPr>
          <w:p>
            <w:pPr>
              <w:spacing w:after="20"/>
            </w:pPr>
            <w:r/>
            <w:r>
              <w:rPr>
                <w:rFonts w:ascii="Aptos" w:hAnsi="Aptos"/>
                <w:b w:val="0"/>
                <w:sz w:val="15"/>
              </w:rPr>
              <w:t>Measure only reproducible tests; state sample size, baseline and limitations.</w:t>
            </w:r>
          </w:p>
        </w:tc>
      </w:tr>
      <w:tr>
        <w:trPr>
          <w:cantSplit/>
        </w:trPr>
        <w:tc>
          <w:tcPr>
            <w:tcW w:type="dxa" w:w="2520"/>
            <w:vAlign w:val="center"/>
            <w:shd w:fill="F4F7FA"/>
          </w:tcPr>
          <w:p>
            <w:pPr>
              <w:spacing w:after="20"/>
            </w:pPr>
            <w:r/>
            <w:r>
              <w:rPr>
                <w:rFonts w:ascii="Aptos" w:hAnsi="Aptos"/>
                <w:b w:val="0"/>
                <w:sz w:val="15"/>
              </w:rPr>
              <w:t>Multilingual/read-aloud support varies by device.</w:t>
            </w:r>
          </w:p>
        </w:tc>
        <w:tc>
          <w:tcPr>
            <w:tcW w:type="dxa" w:w="2448"/>
            <w:vAlign w:val="center"/>
            <w:shd w:fill="F4F7FA"/>
          </w:tcPr>
          <w:p>
            <w:pPr>
              <w:spacing w:after="20"/>
            </w:pPr>
            <w:r/>
            <w:r>
              <w:rPr>
                <w:rFonts w:ascii="Aptos" w:hAnsi="Aptos"/>
                <w:b w:val="0"/>
                <w:sz w:val="15"/>
              </w:rPr>
              <w:t>Incomplete language coverage.</w:t>
            </w:r>
          </w:p>
        </w:tc>
        <w:tc>
          <w:tcPr>
            <w:tcW w:type="dxa" w:w="4968"/>
            <w:vAlign w:val="center"/>
            <w:shd w:fill="F4F7FA"/>
          </w:tcPr>
          <w:p>
            <w:pPr>
              <w:spacing w:after="20"/>
            </w:pPr>
            <w:r/>
            <w:r>
              <w:rPr>
                <w:rFonts w:ascii="Aptos" w:hAnsi="Aptos"/>
                <w:b w:val="0"/>
                <w:sz w:val="15"/>
              </w:rPr>
              <w:t>Test available browser voices; externalise translations; provide text alternatives and graceful fallback.</w:t>
            </w:r>
          </w:p>
        </w:tc>
      </w:tr>
    </w:tbl>
    <w:p>
      <w:pPr>
        <w:spacing w:after="0"/>
      </w:pPr>
    </w:p>
    <w:p>
      <w:pPr>
        <w:pStyle w:val="Heading1"/>
      </w:pPr>
      <w:r>
        <w:t>16. Six-slide presentation mapping</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656"/>
            <w:vAlign w:val="center"/>
            <w:shd w:fill="16324F"/>
          </w:tcPr>
          <w:p>
            <w:pPr>
              <w:spacing w:after="20"/>
            </w:pPr>
            <w:r/>
            <w:r>
              <w:rPr>
                <w:rFonts w:ascii="Aptos" w:hAnsi="Aptos"/>
                <w:b/>
                <w:color w:val="FFFFFF"/>
                <w:sz w:val="15"/>
              </w:rPr>
              <w:t>Slide</w:t>
            </w:r>
          </w:p>
        </w:tc>
        <w:tc>
          <w:tcPr>
            <w:tcW w:type="dxa" w:w="4824"/>
            <w:vAlign w:val="center"/>
            <w:shd w:fill="16324F"/>
          </w:tcPr>
          <w:p>
            <w:pPr>
              <w:spacing w:after="20"/>
            </w:pPr>
            <w:r/>
            <w:r>
              <w:rPr>
                <w:rFonts w:ascii="Aptos" w:hAnsi="Aptos"/>
                <w:b/>
                <w:color w:val="FFFFFF"/>
                <w:sz w:val="15"/>
              </w:rPr>
              <w:t>Recommended content</w:t>
            </w:r>
          </w:p>
        </w:tc>
        <w:tc>
          <w:tcPr>
            <w:tcW w:type="dxa" w:w="3456"/>
            <w:vAlign w:val="center"/>
            <w:shd w:fill="16324F"/>
          </w:tcPr>
          <w:p>
            <w:pPr>
              <w:spacing w:after="20"/>
            </w:pPr>
            <w:r/>
            <w:r>
              <w:rPr>
                <w:rFonts w:ascii="Aptos" w:hAnsi="Aptos"/>
                <w:b/>
                <w:color w:val="FFFFFF"/>
                <w:sz w:val="15"/>
              </w:rPr>
              <w:t>Proof / caution</w:t>
            </w:r>
          </w:p>
        </w:tc>
      </w:tr>
      <w:tr>
        <w:trPr>
          <w:cantSplit/>
        </w:trPr>
        <w:tc>
          <w:tcPr>
            <w:tcW w:type="dxa" w:w="1656"/>
            <w:vAlign w:val="center"/>
          </w:tcPr>
          <w:p>
            <w:pPr>
              <w:spacing w:after="20"/>
            </w:pPr>
            <w:r/>
            <w:r>
              <w:rPr>
                <w:rFonts w:ascii="Aptos" w:hAnsi="Aptos"/>
                <w:b w:val="0"/>
                <w:sz w:val="15"/>
              </w:rPr>
              <w:t>1 — Title</w:t>
            </w:r>
          </w:p>
        </w:tc>
        <w:tc>
          <w:tcPr>
            <w:tcW w:type="dxa" w:w="4824"/>
            <w:vAlign w:val="center"/>
          </w:tcPr>
          <w:p>
            <w:pPr>
              <w:spacing w:after="20"/>
            </w:pPr>
            <w:r/>
            <w:r>
              <w:rPr>
                <w:rFonts w:ascii="Aptos" w:hAnsi="Aptos"/>
                <w:b w:val="0"/>
                <w:sz w:val="15"/>
              </w:rPr>
              <w:t>DepositGuard name/tagline and group details only, per agreed slide structure.</w:t>
            </w:r>
          </w:p>
        </w:tc>
        <w:tc>
          <w:tcPr>
            <w:tcW w:type="dxa" w:w="3456"/>
            <w:vAlign w:val="center"/>
          </w:tcPr>
          <w:p>
            <w:pPr>
              <w:spacing w:after="20"/>
            </w:pPr>
            <w:r/>
            <w:r>
              <w:rPr>
                <w:rFonts w:ascii="Aptos" w:hAnsi="Aptos"/>
                <w:b w:val="0"/>
                <w:sz w:val="15"/>
              </w:rPr>
              <w:t>Avoid unsupported claims or crowded feature lists.</w:t>
            </w:r>
          </w:p>
        </w:tc>
      </w:tr>
      <w:tr>
        <w:trPr>
          <w:cantSplit/>
        </w:trPr>
        <w:tc>
          <w:tcPr>
            <w:tcW w:type="dxa" w:w="1656"/>
            <w:vAlign w:val="center"/>
            <w:shd w:fill="F4F7FA"/>
          </w:tcPr>
          <w:p>
            <w:pPr>
              <w:spacing w:after="20"/>
            </w:pPr>
            <w:r/>
            <w:r>
              <w:rPr>
                <w:rFonts w:ascii="Aptos" w:hAnsi="Aptos"/>
                <w:b w:val="0"/>
                <w:sz w:val="15"/>
              </w:rPr>
              <w:t>2 — Problem, uniqueness, solution</w:t>
            </w:r>
          </w:p>
        </w:tc>
        <w:tc>
          <w:tcPr>
            <w:tcW w:type="dxa" w:w="4824"/>
            <w:vAlign w:val="center"/>
            <w:shd w:fill="F4F7FA"/>
          </w:tcPr>
          <w:p>
            <w:pPr>
              <w:spacing w:after="20"/>
            </w:pPr>
            <w:r/>
            <w:r>
              <w:rPr>
                <w:rFonts w:ascii="Aptos" w:hAnsi="Aptos"/>
                <w:b w:val="0"/>
                <w:sz w:val="15"/>
              </w:rPr>
              <w:t>Officially documented process baseline; problem-statement need; evidence-linked lifecycle assurance; differentiators.</w:t>
            </w:r>
          </w:p>
        </w:tc>
        <w:tc>
          <w:tcPr>
            <w:tcW w:type="dxa" w:w="3456"/>
            <w:vAlign w:val="center"/>
            <w:shd w:fill="F4F7FA"/>
          </w:tcPr>
          <w:p>
            <w:pPr>
              <w:spacing w:after="20"/>
            </w:pPr>
            <w:r/>
            <w:r>
              <w:rPr>
                <w:rFonts w:ascii="Aptos" w:hAnsi="Aptos"/>
                <w:b w:val="0"/>
                <w:sz w:val="15"/>
              </w:rPr>
              <w:t>State that the current live portal was not fully audited; don't claim AICTE has no online process.</w:t>
            </w:r>
          </w:p>
        </w:tc>
      </w:tr>
      <w:tr>
        <w:trPr>
          <w:cantSplit/>
        </w:trPr>
        <w:tc>
          <w:tcPr>
            <w:tcW w:type="dxa" w:w="1656"/>
            <w:vAlign w:val="center"/>
          </w:tcPr>
          <w:p>
            <w:pPr>
              <w:spacing w:after="20"/>
            </w:pPr>
            <w:r/>
            <w:r>
              <w:rPr>
                <w:rFonts w:ascii="Aptos" w:hAnsi="Aptos"/>
                <w:b w:val="0"/>
                <w:sz w:val="15"/>
              </w:rPr>
              <w:t>3 — Technical approach</w:t>
            </w:r>
          </w:p>
        </w:tc>
        <w:tc>
          <w:tcPr>
            <w:tcW w:type="dxa" w:w="4824"/>
            <w:vAlign w:val="center"/>
          </w:tcPr>
          <w:p>
            <w:pPr>
              <w:spacing w:after="20"/>
            </w:pPr>
            <w:r/>
            <w:r>
              <w:rPr>
                <w:rFonts w:ascii="Aptos" w:hAnsi="Aptos"/>
                <w:b w:val="0"/>
                <w:sz w:val="15"/>
              </w:rPr>
              <w:t>Architecture, modules, verification layers, data flow, configurable rules, human review.</w:t>
            </w:r>
          </w:p>
        </w:tc>
        <w:tc>
          <w:tcPr>
            <w:tcW w:type="dxa" w:w="3456"/>
            <w:vAlign w:val="center"/>
          </w:tcPr>
          <w:p>
            <w:pPr>
              <w:spacing w:after="20"/>
            </w:pPr>
            <w:r/>
            <w:r>
              <w:rPr>
                <w:rFonts w:ascii="Aptos" w:hAnsi="Aptos"/>
                <w:b w:val="0"/>
                <w:sz w:val="15"/>
              </w:rPr>
              <w:t>Show synthetic/demo bank mode clearly; do not imply live integration.</w:t>
            </w:r>
          </w:p>
        </w:tc>
      </w:tr>
      <w:tr>
        <w:trPr>
          <w:cantSplit/>
        </w:trPr>
        <w:tc>
          <w:tcPr>
            <w:tcW w:type="dxa" w:w="1656"/>
            <w:vAlign w:val="center"/>
            <w:shd w:fill="F4F7FA"/>
          </w:tcPr>
          <w:p>
            <w:pPr>
              <w:spacing w:after="20"/>
            </w:pPr>
            <w:r/>
            <w:r>
              <w:rPr>
                <w:rFonts w:ascii="Aptos" w:hAnsi="Aptos"/>
                <w:b w:val="0"/>
                <w:sz w:val="15"/>
              </w:rPr>
              <w:t>4 — Impact &amp; benefits</w:t>
            </w:r>
          </w:p>
        </w:tc>
        <w:tc>
          <w:tcPr>
            <w:tcW w:type="dxa" w:w="4824"/>
            <w:vAlign w:val="center"/>
            <w:shd w:fill="F4F7FA"/>
          </w:tcPr>
          <w:p>
            <w:pPr>
              <w:spacing w:after="20"/>
            </w:pPr>
            <w:r/>
            <w:r>
              <w:rPr>
                <w:rFonts w:ascii="Aptos" w:hAnsi="Aptos"/>
                <w:b w:val="0"/>
                <w:sz w:val="15"/>
              </w:rPr>
              <w:t>Expected operational benefits and how they will be measured; accessibility and multilingual support.</w:t>
            </w:r>
          </w:p>
        </w:tc>
        <w:tc>
          <w:tcPr>
            <w:tcW w:type="dxa" w:w="3456"/>
            <w:vAlign w:val="center"/>
            <w:shd w:fill="F4F7FA"/>
          </w:tcPr>
          <w:p>
            <w:pPr>
              <w:spacing w:after="20"/>
            </w:pPr>
            <w:r/>
            <w:r>
              <w:rPr>
                <w:rFonts w:ascii="Aptos" w:hAnsi="Aptos"/>
                <w:b w:val="0"/>
                <w:sz w:val="15"/>
              </w:rPr>
              <w:t>Use expected benefits until measured results are available; report actual prototype test metrics only.</w:t>
            </w:r>
          </w:p>
        </w:tc>
      </w:tr>
      <w:tr>
        <w:trPr>
          <w:cantSplit/>
        </w:trPr>
        <w:tc>
          <w:tcPr>
            <w:tcW w:type="dxa" w:w="1656"/>
            <w:vAlign w:val="center"/>
          </w:tcPr>
          <w:p>
            <w:pPr>
              <w:spacing w:after="20"/>
            </w:pPr>
            <w:r/>
            <w:r>
              <w:rPr>
                <w:rFonts w:ascii="Aptos" w:hAnsi="Aptos"/>
                <w:b w:val="0"/>
                <w:sz w:val="15"/>
              </w:rPr>
              <w:t>5 — Feasibility &amp; viability</w:t>
            </w:r>
          </w:p>
        </w:tc>
        <w:tc>
          <w:tcPr>
            <w:tcW w:type="dxa" w:w="4824"/>
            <w:vAlign w:val="center"/>
          </w:tcPr>
          <w:p>
            <w:pPr>
              <w:spacing w:after="20"/>
            </w:pPr>
            <w:r/>
            <w:r>
              <w:rPr>
                <w:rFonts w:ascii="Aptos" w:hAnsi="Aptos"/>
                <w:b w:val="0"/>
                <w:sz w:val="15"/>
              </w:rPr>
              <w:t>Open-source modular stack, synthetic data, three-person plan, MVP boundaries, dependencies and risk mitigation.</w:t>
            </w:r>
          </w:p>
        </w:tc>
        <w:tc>
          <w:tcPr>
            <w:tcW w:type="dxa" w:w="3456"/>
            <w:vAlign w:val="center"/>
          </w:tcPr>
          <w:p>
            <w:pPr>
              <w:spacing w:after="20"/>
            </w:pPr>
            <w:r/>
            <w:r>
              <w:rPr>
                <w:rFonts w:ascii="Aptos" w:hAnsi="Aptos"/>
                <w:b w:val="0"/>
                <w:sz w:val="15"/>
              </w:rPr>
              <w:t>Live integrations and advanced ML are conditional/future scope.</w:t>
            </w:r>
          </w:p>
        </w:tc>
      </w:tr>
      <w:tr>
        <w:trPr>
          <w:cantSplit/>
        </w:trPr>
        <w:tc>
          <w:tcPr>
            <w:tcW w:type="dxa" w:w="1656"/>
            <w:vAlign w:val="center"/>
            <w:shd w:fill="F4F7FA"/>
          </w:tcPr>
          <w:p>
            <w:pPr>
              <w:spacing w:after="20"/>
            </w:pPr>
            <w:r/>
            <w:r>
              <w:rPr>
                <w:rFonts w:ascii="Aptos" w:hAnsi="Aptos"/>
                <w:b w:val="0"/>
                <w:sz w:val="15"/>
              </w:rPr>
              <w:t>6 — Research &amp; references</w:t>
            </w:r>
          </w:p>
        </w:tc>
        <w:tc>
          <w:tcPr>
            <w:tcW w:type="dxa" w:w="4824"/>
            <w:vAlign w:val="center"/>
            <w:shd w:fill="F4F7FA"/>
          </w:tcPr>
          <w:p>
            <w:pPr>
              <w:spacing w:after="20"/>
            </w:pPr>
            <w:r/>
            <w:r>
              <w:rPr>
                <w:rFonts w:ascii="Aptos" w:hAnsi="Aptos"/>
                <w:b w:val="0"/>
                <w:sz w:val="15"/>
              </w:rPr>
              <w:t>AICTE RFP, Approval Process Handbook, NIST, OWASP, pyHanko, document-tampering/OCR literature with limitations.</w:t>
            </w:r>
          </w:p>
        </w:tc>
        <w:tc>
          <w:tcPr>
            <w:tcW w:type="dxa" w:w="3456"/>
            <w:vAlign w:val="center"/>
            <w:shd w:fill="F4F7FA"/>
          </w:tcPr>
          <w:p>
            <w:pPr>
              <w:spacing w:after="20"/>
            </w:pPr>
            <w:r/>
            <w:r>
              <w:rPr>
                <w:rFonts w:ascii="Aptos" w:hAnsi="Aptos"/>
                <w:b w:val="0"/>
                <w:sz w:val="15"/>
              </w:rPr>
              <w:t>Use primary sources; verify URLs, source versions and dataset licences before submission.</w:t>
            </w:r>
          </w:p>
        </w:tc>
      </w:tr>
    </w:tbl>
    <w:p>
      <w:pPr>
        <w:spacing w:after="0"/>
      </w:pPr>
    </w:p>
    <w:p>
      <w:pPr>
        <w:pStyle w:val="Heading1"/>
      </w:pPr>
      <w:r>
        <w:t>17. Research references and source-use notes</w:t>
      </w:r>
    </w:p>
    <w:p>
      <w:r>
        <w:t>These sources are retained from the team's research survey. Use them to substantiate the specific claim described; re-check the current source, version, accessibility and licence before submission. The list is not a claim that all external services or datasets are available to the team.</w:t>
      </w:r>
    </w:p>
    <w:p>
      <w:pPr>
        <w:pStyle w:val="ListNumber"/>
        <w:spacing w:after="40"/>
      </w:pPr>
      <w:r>
        <w:rPr>
          <w:b/>
        </w:rPr>
        <w:t xml:space="preserve">R1. AICTE e-Governance RFP — JFDR, Section 7.2.2 (official AICTE PDF) — </w:t>
      </w:r>
      <w:hyperlink r:id="rId11">
        <w:r>
          <w:rPr>
            <w:color w:val="2E5EAA"/>
            <w:u w:val="single"/>
          </w:rPr>
          <w:t>Open source</w:t>
        </w:r>
      </w:hyperlink>
      <w:r>
        <w:br/>
        <w:t xml:space="preserve">   Supports that an online matured-FD refund application and progress tracking process is documented; not proof of every current portal feature.</w:t>
      </w:r>
    </w:p>
    <w:p>
      <w:pPr>
        <w:pStyle w:val="ListNumber"/>
        <w:spacing w:after="40"/>
      </w:pPr>
      <w:r>
        <w:rPr>
          <w:b/>
        </w:rPr>
        <w:t xml:space="preserve">R2. AICTE Approval Process Handbook 2024–2027 — Section 6.46, Release of Security Deposit — </w:t>
      </w:r>
      <w:hyperlink r:id="rId12">
        <w:r>
          <w:rPr>
            <w:color w:val="2E5EAA"/>
            <w:u w:val="single"/>
          </w:rPr>
          <w:t>Open source</w:t>
        </w:r>
      </w:hyperlink>
      <w:r>
        <w:br/>
        <w:t xml:space="preserve">   Supports documented release-related documents and clearances; verify applicability before encoding rules.</w:t>
      </w:r>
    </w:p>
    <w:p>
      <w:pPr>
        <w:pStyle w:val="ListNumber"/>
        <w:spacing w:after="40"/>
      </w:pPr>
      <w:r>
        <w:rPr>
          <w:b/>
        </w:rPr>
        <w:t xml:space="preserve">R3. Maharashtra DTE-hosted mirror of AICTE e-Governance RFP — </w:t>
      </w:r>
      <w:hyperlink r:id="rId13">
        <w:r>
          <w:rPr>
            <w:color w:val="2E5EAA"/>
            <w:u w:val="single"/>
          </w:rPr>
          <w:t>Open source</w:t>
        </w:r>
      </w:hyperlink>
      <w:r>
        <w:br/>
        <w:t xml:space="preserve">   Accessible mirror if the primary PDF is unavailable; cite the official AICTE source where possible.</w:t>
      </w:r>
    </w:p>
    <w:p>
      <w:pPr>
        <w:pStyle w:val="ListNumber"/>
        <w:spacing w:after="40"/>
      </w:pPr>
      <w:r>
        <w:rPr>
          <w:b/>
        </w:rPr>
        <w:t xml:space="preserve">R4. Qu et al., CVPR 2023, Towards Robust Tampered Text Detection in Document Image: New Dataset and New Solution — </w:t>
      </w:r>
      <w:hyperlink r:id="rId14">
        <w:r>
          <w:rPr>
            <w:color w:val="2E5EAA"/>
            <w:u w:val="single"/>
          </w:rPr>
          <w:t>Open source</w:t>
        </w:r>
      </w:hyperlink>
      <w:r>
        <w:br/>
        <w:t xml:space="preserve">   Document tampering research and DocTamper benchmark; not FDR-specific; do not transfer reported performance to DepositGuard.</w:t>
      </w:r>
    </w:p>
    <w:p>
      <w:pPr>
        <w:pStyle w:val="ListNumber"/>
        <w:spacing w:after="40"/>
      </w:pPr>
      <w:r>
        <w:rPr>
          <w:b/>
        </w:rPr>
        <w:t xml:space="preserve">R5. Official DocTamper repository — </w:t>
      </w:r>
      <w:hyperlink r:id="rId15">
        <w:r>
          <w:rPr>
            <w:color w:val="2E5EAA"/>
            <w:u w:val="single"/>
          </w:rPr>
          <w:t>Open source</w:t>
        </w:r>
      </w:hyperlink>
      <w:r>
        <w:br/>
        <w:t xml:space="preserve">   Check access conditions, licence, third-party source image rights and compute before use.</w:t>
      </w:r>
    </w:p>
    <w:p>
      <w:pPr>
        <w:pStyle w:val="ListNumber"/>
        <w:spacing w:after="40"/>
      </w:pPr>
      <w:r>
        <w:rPr>
          <w:b/>
        </w:rPr>
        <w:t xml:space="preserve">R6. FinCriticalED paper — </w:t>
      </w:r>
      <w:hyperlink r:id="rId16">
        <w:r>
          <w:rPr>
            <w:color w:val="2E5EAA"/>
            <w:u w:val="single"/>
          </w:rPr>
          <w:t>Open source</w:t>
        </w:r>
      </w:hyperlink>
      <w:r>
        <w:br/>
        <w:t xml:space="preserve">   Financial fact-level OCR benchmark context; not an FDR dataset.</w:t>
      </w:r>
    </w:p>
    <w:p>
      <w:pPr>
        <w:pStyle w:val="ListNumber"/>
        <w:spacing w:after="40"/>
      </w:pPr>
      <w:r>
        <w:rPr>
          <w:b/>
        </w:rPr>
        <w:t xml:space="preserve">R7. FinCriticalED repository — </w:t>
      </w:r>
      <w:hyperlink r:id="rId17">
        <w:r>
          <w:rPr>
            <w:color w:val="2E5EAA"/>
            <w:u w:val="single"/>
          </w:rPr>
          <w:t>Open source</w:t>
        </w:r>
      </w:hyperlink>
      <w:r>
        <w:br/>
        <w:t xml:space="preserve">   Check dataset access and licence; use for methodological reference only unless permitted.</w:t>
      </w:r>
    </w:p>
    <w:p>
      <w:pPr>
        <w:pStyle w:val="ListNumber"/>
        <w:spacing w:after="40"/>
      </w:pPr>
      <w:r>
        <w:rPr>
          <w:b/>
        </w:rPr>
        <w:t xml:space="preserve">R8. pyHanko PDF signature validation documentation — </w:t>
      </w:r>
      <w:hyperlink r:id="rId18">
        <w:r>
          <w:rPr>
            <w:color w:val="2E5EAA"/>
            <w:u w:val="single"/>
          </w:rPr>
          <w:t>Open source</w:t>
        </w:r>
      </w:hyperlink>
      <w:r>
        <w:br/>
        <w:t xml:space="preserve">   Supports conditional PDF-signature validation; trust configuration and bank-record limitations must be explained.</w:t>
      </w:r>
    </w:p>
    <w:p>
      <w:pPr>
        <w:pStyle w:val="ListNumber"/>
        <w:spacing w:after="40"/>
      </w:pPr>
      <w:r>
        <w:rPr>
          <w:b/>
        </w:rPr>
        <w:t xml:space="preserve">R9. NIST FIPS 180-4 — Secure Hash Standard — </w:t>
      </w:r>
      <w:hyperlink r:id="rId19">
        <w:r>
          <w:rPr>
            <w:color w:val="2E5EAA"/>
            <w:u w:val="single"/>
          </w:rPr>
          <w:t>Open source</w:t>
        </w:r>
      </w:hyperlink>
      <w:r>
        <w:br/>
        <w:t xml:space="preserve">   Supports cryptographic hash algorithm background; hashing detects changes relative to a stored digest, not original authenticity.</w:t>
      </w:r>
    </w:p>
    <w:p>
      <w:pPr>
        <w:pStyle w:val="ListNumber"/>
        <w:spacing w:after="40"/>
      </w:pPr>
      <w:r>
        <w:rPr>
          <w:b/>
        </w:rPr>
        <w:t xml:space="preserve">R10. NIST SHA-256 glossary — </w:t>
      </w:r>
      <w:hyperlink r:id="rId20">
        <w:r>
          <w:rPr>
            <w:color w:val="2E5EAA"/>
            <w:u w:val="single"/>
          </w:rPr>
          <w:t>Open source</w:t>
        </w:r>
      </w:hyperlink>
      <w:r>
        <w:br/>
        <w:t xml:space="preserve">   Definition/reference for SHA-256.</w:t>
      </w:r>
    </w:p>
    <w:p>
      <w:pPr>
        <w:pStyle w:val="ListNumber"/>
        <w:spacing w:after="40"/>
      </w:pPr>
      <w:r>
        <w:rPr>
          <w:b/>
        </w:rPr>
        <w:t xml:space="preserve">R11. OWASP File Upload Cheat Sheet — </w:t>
      </w:r>
      <w:hyperlink r:id="rId21">
        <w:r>
          <w:rPr>
            <w:color w:val="2E5EAA"/>
            <w:u w:val="single"/>
          </w:rPr>
          <w:t>Open source</w:t>
        </w:r>
      </w:hyperlink>
      <w:r>
        <w:br/>
        <w:t xml:space="preserve">   Secure upload controls, content validation, generated filenames, size limits and access control.</w:t>
      </w:r>
    </w:p>
    <w:p>
      <w:pPr>
        <w:pStyle w:val="ListNumber"/>
        <w:spacing w:after="40"/>
      </w:pPr>
      <w:r>
        <w:rPr>
          <w:b/>
        </w:rPr>
        <w:t xml:space="preserve">R12. OWASP Logging Cheat Sheet — </w:t>
      </w:r>
      <w:hyperlink r:id="rId22">
        <w:r>
          <w:rPr>
            <w:color w:val="2E5EAA"/>
            <w:u w:val="single"/>
          </w:rPr>
          <w:t>Open source</w:t>
        </w:r>
      </w:hyperlink>
      <w:r>
        <w:br/>
        <w:t xml:space="preserve">   Security event logging, log protection and sensitive data minimisation.</w:t>
      </w:r>
    </w:p>
    <w:p>
      <w:pPr>
        <w:pStyle w:val="ListNumber"/>
        <w:spacing w:after="40"/>
      </w:pPr>
      <w:r>
        <w:rPr>
          <w:b/>
        </w:rPr>
        <w:t xml:space="preserve">R13. IEEE Xplore record: Multi-Modal Approach to Automated Financial Document Forgery Detection Using CNN and Semantic Validation — </w:t>
      </w:r>
      <w:hyperlink r:id="rId23">
        <w:r>
          <w:rPr>
            <w:color w:val="2E5EAA"/>
            <w:u w:val="single"/>
          </w:rPr>
          <w:t>Open source</w:t>
        </w:r>
      </w:hyperlink>
      <w:r>
        <w:br/>
        <w:t xml:space="preserve">   Research comparison only; author-reported results are not DepositGuard results and invoice benchmarks are not FDR benchmarks.</w:t>
      </w:r>
    </w:p>
    <w:p>
      <w:pPr>
        <w:pStyle w:val="ListNumber"/>
        <w:spacing w:after="40"/>
      </w:pPr>
      <w:r>
        <w:rPr>
          <w:b/>
        </w:rPr>
        <w:t xml:space="preserve">R14. MeitY — Digital Personal Data Protection Act, 2023 — </w:t>
      </w:r>
      <w:hyperlink r:id="rId24">
        <w:r>
          <w:rPr>
            <w:color w:val="2E5EAA"/>
            <w:u w:val="single"/>
          </w:rPr>
          <w:t>Open source</w:t>
        </w:r>
      </w:hyperlink>
      <w:r>
        <w:br/>
        <w:t xml:space="preserve">   Legal context; check current commencement notifications/rules and obtain legal review for production.</w:t>
      </w:r>
    </w:p>
    <w:p>
      <w:pPr>
        <w:pStyle w:val="ListNumber"/>
        <w:spacing w:after="40"/>
      </w:pPr>
      <w:r>
        <w:rPr>
          <w:b/>
        </w:rPr>
        <w:t xml:space="preserve">R15. ICICI Bank corporate API suite — </w:t>
      </w:r>
      <w:hyperlink r:id="rId25">
        <w:r>
          <w:rPr>
            <w:color w:val="2E5EAA"/>
            <w:u w:val="single"/>
          </w:rPr>
          <w:t>Open source</w:t>
        </w:r>
      </w:hyperlink>
      <w:r>
        <w:br/>
        <w:t xml:space="preserve">   Example of bank API context; does not establish AICTE integration or team eligibility.</w:t>
      </w:r>
    </w:p>
    <w:p>
      <w:pPr>
        <w:pStyle w:val="ListNumber"/>
        <w:spacing w:after="40"/>
      </w:pPr>
      <w:r>
        <w:rPr>
          <w:b/>
        </w:rPr>
        <w:t xml:space="preserve">R16. ICICI Bank corporate fixed deposit FAQs — </w:t>
      </w:r>
      <w:hyperlink r:id="rId26">
        <w:r>
          <w:rPr>
            <w:color w:val="2E5EAA"/>
            <w:u w:val="single"/>
          </w:rPr>
          <w:t>Open source</w:t>
        </w:r>
      </w:hyperlink>
      <w:r>
        <w:br/>
        <w:t xml:space="preserve">   Bank product context only; not proof of accessible FDR-verification endpoints.</w:t>
      </w:r>
    </w:p>
    <w:p>
      <w:pPr>
        <w:pStyle w:val="Heading1"/>
      </w:pPr>
      <w:r>
        <w:t>18. Final project checklist</w:t>
      </w:r>
    </w:p>
    <w:p>
      <w:pPr>
        <w:spacing w:after="40"/>
      </w:pPr>
      <w:r>
        <w:rPr>
          <w:sz w:val="18"/>
        </w:rPr>
        <w:t>☐  Do not claim that AICTE has no online FDR process or that the current portal lacks a feature without evidence.</w:t>
      </w:r>
    </w:p>
    <w:p>
      <w:pPr>
        <w:spacing w:after="40"/>
      </w:pPr>
      <w:r>
        <w:rPr>
          <w:sz w:val="18"/>
        </w:rPr>
        <w:t>☐  Every official requirement in Section 4 has a screen/API/data model/permission rule/test assigned.</w:t>
      </w:r>
    </w:p>
    <w:p>
      <w:pPr>
        <w:spacing w:after="40"/>
      </w:pPr>
      <w:r>
        <w:rPr>
          <w:sz w:val="18"/>
        </w:rPr>
        <w:t>☐  FDR records, document versions, bank evidence, workflow history and dashboard metrics come from the database.</w:t>
      </w:r>
    </w:p>
    <w:p>
      <w:pPr>
        <w:spacing w:after="40"/>
      </w:pPr>
      <w:r>
        <w:rPr>
          <w:sz w:val="18"/>
        </w:rPr>
        <w:t>☐  Submitted information and independent bank confirmation are visibly separate.</w:t>
      </w:r>
    </w:p>
    <w:p>
      <w:pPr>
        <w:spacing w:after="40"/>
      </w:pPr>
      <w:r>
        <w:rPr>
          <w:sz w:val="18"/>
        </w:rPr>
        <w:t>☐  Every verification check has an explicit outcome, timestamp, evidence reference, rule/software version and limitation where applicable.</w:t>
      </w:r>
    </w:p>
    <w:p>
      <w:pPr>
        <w:spacing w:after="40"/>
      </w:pPr>
      <w:r>
        <w:rPr>
          <w:sz w:val="18"/>
        </w:rPr>
        <w:t>☐  Missing, low-confidence, unavailable and inconclusive results never silently become pass.</w:t>
      </w:r>
    </w:p>
    <w:p>
      <w:pPr>
        <w:spacing w:after="40"/>
      </w:pPr>
      <w:r>
        <w:rPr>
          <w:sz w:val="18"/>
        </w:rPr>
        <w:t>☐  Hash mismatch, OCR mismatch, duplicate signal or tampering indicator is not automatically labelled fraud.</w:t>
      </w:r>
    </w:p>
    <w:p>
      <w:pPr>
        <w:spacing w:after="40"/>
      </w:pPr>
      <w:r>
        <w:rPr>
          <w:sz w:val="18"/>
        </w:rPr>
        <w:t>☐  Release/refund requires configured gates and authorised human decision; no automatic release.</w:t>
      </w:r>
    </w:p>
    <w:p>
      <w:pPr>
        <w:spacing w:after="40"/>
      </w:pPr>
      <w:r>
        <w:rPr>
          <w:sz w:val="18"/>
        </w:rPr>
        <w:t>☐  Renewal/replacement preserves the prior instrument and full history.</w:t>
      </w:r>
    </w:p>
    <w:p>
      <w:pPr>
        <w:spacing w:after="40"/>
      </w:pPr>
      <w:r>
        <w:rPr>
          <w:sz w:val="18"/>
        </w:rPr>
        <w:t>☐  Reminders and escalation are driven by configurable rules and tested by date-boundary scenarios.</w:t>
      </w:r>
    </w:p>
    <w:p>
      <w:pPr>
        <w:spacing w:after="40"/>
      </w:pPr>
      <w:r>
        <w:rPr>
          <w:sz w:val="18"/>
        </w:rPr>
        <w:t>☐  Backend enforces role permissions, institution isolation and file-download access.</w:t>
      </w:r>
    </w:p>
    <w:p>
      <w:pPr>
        <w:spacing w:after="40"/>
      </w:pPr>
      <w:r>
        <w:rPr>
          <w:sz w:val="18"/>
        </w:rPr>
        <w:t>☐  Business rules are configurable, versioned, audited and tested without source edits.</w:t>
      </w:r>
    </w:p>
    <w:p>
      <w:pPr>
        <w:spacing w:after="40"/>
      </w:pPr>
      <w:r>
        <w:rPr>
          <w:sz w:val="18"/>
        </w:rPr>
        <w:t>☐  Uploads use safe validation and private storage; secrets are excluded from Git.</w:t>
      </w:r>
    </w:p>
    <w:p>
      <w:pPr>
        <w:spacing w:after="40"/>
      </w:pPr>
      <w:r>
        <w:rPr>
          <w:sz w:val="18"/>
        </w:rPr>
        <w:t>☐  Multilingual, read-aloud and accessibility functions are tested on target browsers/devices.</w:t>
      </w:r>
    </w:p>
    <w:p>
      <w:pPr>
        <w:spacing w:after="40"/>
      </w:pPr>
      <w:r>
        <w:rPr>
          <w:sz w:val="18"/>
        </w:rPr>
        <w:t>☐  Only synthetic data is used unless explicit lawful access and permission are obtained.</w:t>
      </w:r>
    </w:p>
    <w:p>
      <w:pPr>
        <w:spacing w:after="40"/>
      </w:pPr>
      <w:r>
        <w:rPr>
          <w:sz w:val="18"/>
        </w:rPr>
        <w:t>☐  All metrics in slides are measured and scoped to the documented test set.</w:t>
      </w:r>
    </w:p>
    <w:p>
      <w:pPr>
        <w:spacing w:after="40"/>
      </w:pPr>
      <w:r>
        <w:rPr>
          <w:sz w:val="18"/>
        </w:rPr>
        <w:t>☐  Live bank/AICTE integrations are labelled as future/conditional unless actually authorised and tested.</w:t>
      </w:r>
    </w:p>
    <w:p>
      <w:pPr>
        <w:spacing w:after="40"/>
      </w:pPr>
      <w:r>
        <w:rPr>
          <w:sz w:val="18"/>
        </w:rPr>
        <w:t>☐  All references and dataset licences are rechecked before final submission.</w:t>
      </w:r>
    </w:p>
    <w:p>
      <w:pPr>
        <w:pStyle w:val="Heading1"/>
      </w:pPr>
      <w:r>
        <w:t>Final decision statement</w:t>
      </w:r>
    </w:p>
    <w:tbl>
      <w:tblPr>
        <w:tblStyle w:val="TableGrid"/>
        <w:tblW w:type="auto" w:w="0"/>
        <w:tblLook w:firstColumn="1" w:firstRow="1" w:lastColumn="0" w:lastRow="0" w:noHBand="0" w:noVBand="1" w:val="04A0"/>
      </w:tblPr>
      <w:tblGrid>
        <w:gridCol w:w="10166"/>
      </w:tblGrid>
      <w:tr>
        <w:trPr>
          <w:cantSplit/>
        </w:trPr>
        <w:tc>
          <w:tcPr>
            <w:tcW w:type="dxa" w:w="10166"/>
            <w:shd w:fill="EAF1F7"/>
          </w:tcPr>
          <w:p>
            <w:pPr>
              <w:spacing w:after="40"/>
            </w:pPr>
            <w:r/>
            <w:r>
              <w:rPr>
                <w:b/>
                <w:color w:val="16324F"/>
                <w:sz w:val="20"/>
              </w:rPr>
              <w:t>DepositGuard direction</w:t>
              <w:br/>
            </w:r>
            <w:r>
              <w:rPr>
                <w:sz w:val="18"/>
              </w:rPr>
              <w:t>Build a reliable, secure and configurable FDR lifecycle workflow first. Make verification explainable and evidence-linked, preserve human accountability, measure the prototype with synthetic scenarios, and describe external integrations and advanced AI as conditional until access and validation exist. This is the foundation for both the implementation and the six-slide submission.</w:t>
            </w:r>
          </w:p>
        </w:tc>
      </w:tr>
    </w:tbl>
    <w:p>
      <w:pPr>
        <w:spacing w:after="0"/>
      </w:pPr>
    </w:p>
    <w:p>
      <w:r>
        <w:br w:type="page"/>
      </w:r>
    </w:p>
    <w:p>
      <w:pPr>
        <w:pStyle w:val="Title"/>
        <w:jc w:val="center"/>
      </w:pPr>
      <w:r>
        <w:t>UPDATED FEATURE SPECIFICATION</w:t>
      </w:r>
    </w:p>
    <w:p>
      <w:pPr>
        <w:jc w:val="center"/>
      </w:pPr>
      <w:r>
        <w:rPr>
          <w:i/>
        </w:rPr>
        <w:t>Innovation additions agreed on 26 October 2026</w:t>
      </w:r>
    </w:p>
    <w:p>
      <w:pPr>
        <w:pStyle w:val="Heading1"/>
      </w:pPr>
      <w:r>
        <w:t>Added Innovation Package: CN + DSA + Evidence-Centred Verification</w:t>
      </w:r>
    </w:p>
    <w:p>
      <w:r>
        <w:t>This section formalizes the additional features agreed for the DepositGuard prototype. It distinguishes requirements in the plan from features that are actually implemented and tested. A planned feature must not be described as completed until its acceptance tests pass.</w:t>
      </w:r>
    </w:p>
    <w:p>
      <w:pPr>
        <w:pStyle w:val="Heading2"/>
      </w:pPr>
      <w:r>
        <w:t>A. Document verification and lifecycle innovations</w:t>
      </w:r>
    </w:p>
    <w:tbl>
      <w:tblPr>
        <w:tblStyle w:val="LightShading-Accent1"/>
        <w:tblW w:type="auto" w:w="0"/>
        <w:tblLook w:firstColumn="1" w:firstRow="1" w:lastColumn="0" w:lastRow="0" w:noHBand="0" w:noVBand="1" w:val="04A0"/>
      </w:tblPr>
      <w:tblGrid>
        <w:gridCol w:w="5083"/>
        <w:gridCol w:w="5083"/>
      </w:tblGrid>
      <w:tr>
        <w:tc>
          <w:tcPr>
            <w:tcW w:type="dxa" w:w="5083"/>
            <w:shd w:fill="D9EAF7"/>
          </w:tcPr>
          <w:p>
            <w:r>
              <w:t>Feature</w:t>
            </w:r>
          </w:p>
        </w:tc>
        <w:tc>
          <w:tcPr>
            <w:tcW w:type="dxa" w:w="5083"/>
            <w:shd w:fill="D9EAF7"/>
          </w:tcPr>
          <w:p>
            <w:r>
              <w:t>Requirement</w:t>
            </w:r>
          </w:p>
        </w:tc>
      </w:tr>
      <w:tr>
        <w:tc>
          <w:tcPr>
            <w:tcW w:type="dxa" w:w="5083"/>
          </w:tcPr>
          <w:p>
            <w:r>
              <w:t>Tamper localization (advanced)</w:t>
            </w:r>
          </w:p>
        </w:tc>
        <w:tc>
          <w:tcPr>
            <w:tcW w:type="dxa" w:w="5083"/>
          </w:tcPr>
          <w:p>
            <w:r>
              <w:t>Where a suitable model or supported analysis is available, highlight the specific image region that merits inspection and show the method and confidence/limitations. If unsupported, report NOT_AVAILABLE or NOT_COMPLETED; never invent a heatmap or claim forgery.</w:t>
            </w:r>
          </w:p>
        </w:tc>
      </w:tr>
      <w:tr>
        <w:tc>
          <w:tcPr>
            <w:tcW w:type="dxa" w:w="5083"/>
          </w:tcPr>
          <w:p>
            <w:r>
              <w:t>FDR relationship graph</w:t>
            </w:r>
          </w:p>
        </w:tc>
        <w:tc>
          <w:tcPr>
            <w:tcW w:type="dxa" w:w="5083"/>
          </w:tcPr>
          <w:p>
            <w:r>
              <w:t>Connect an original FDR, renewals/replacements, supporting documents, verification events and release/refund requests. Provide a history-tracing view. Implement as relational links and traverse with BFS/DFS; a graph database is not required.</w:t>
            </w:r>
          </w:p>
        </w:tc>
      </w:tr>
      <w:tr>
        <w:tc>
          <w:tcPr>
            <w:tcW w:type="dxa" w:w="5083"/>
          </w:tcPr>
          <w:p>
            <w:r>
              <w:t>Document integrity</w:t>
            </w:r>
          </w:p>
        </w:tc>
        <w:tc>
          <w:tcPr>
            <w:tcW w:type="dxa" w:w="5083"/>
          </w:tcPr>
          <w:p>
            <w:r>
              <w:t>Calculate SHA-256 on receipt for each immutable upload version, store algorithm/hash/timestamp/uploader metadata, and re-hash before later use/export where appropriate. A hash proves only whether the stored bytes changed relative to the recorded digest, not that the original was genuine.</w:t>
            </w:r>
          </w:p>
        </w:tc>
      </w:tr>
      <w:tr>
        <w:tc>
          <w:tcPr>
            <w:tcW w:type="dxa" w:w="5083"/>
          </w:tcPr>
          <w:p>
            <w:r>
              <w:t>Deadline prioritization</w:t>
            </w:r>
          </w:p>
        </w:tc>
        <w:tc>
          <w:tcPr>
            <w:tcW w:type="dxa" w:w="5083"/>
          </w:tcPr>
          <w:p>
            <w:r>
              <w:t>Rank pending work using configurable rules for overdue actions, maturity proximity, unresolved discrepancies and pending clearances. Show a human-readable reason for every priority. Do not present prototype thresholds as official AICTE rules.</w:t>
            </w:r>
          </w:p>
        </w:tc>
      </w:tr>
      <w:tr>
        <w:tc>
          <w:tcPr>
            <w:tcW w:type="dxa" w:w="5083"/>
          </w:tcPr>
          <w:p>
            <w:r>
              <w:t>Bank verification adapter</w:t>
            </w:r>
          </w:p>
        </w:tc>
        <w:tc>
          <w:tcPr>
            <w:tcW w:type="dxa" w:w="5083"/>
          </w:tcPr>
          <w:p>
            <w:r>
              <w:t>Support LIVE_AUTHORIZED_VERIFICATION only with a genuinely approved integration and credentials; MANUAL_VERIFICATION; and DEMO_SIMULATED_VERIFICATION. Simulation must be unmistakably labelled and cannot be presented as a real bank response.</w:t>
            </w:r>
          </w:p>
        </w:tc>
      </w:tr>
      <w:tr>
        <w:tc>
          <w:tcPr>
            <w:tcW w:type="dxa" w:w="5083"/>
          </w:tcPr>
          <w:p>
            <w:r>
              <w:t>Evidence-linked dossier</w:t>
            </w:r>
          </w:p>
        </w:tc>
        <w:tc>
          <w:tcPr>
            <w:tcW w:type="dxa" w:w="5083"/>
          </w:tcPr>
          <w:p>
            <w:r>
              <w:t>For each instrument, report only checks actually performed, including outcomes, evidence references, timestamps, rule/software versions, unresolved items and officer decisions. Keep authenticity, file integrity, workflow status and risk/urgency separate.</w:t>
            </w:r>
          </w:p>
        </w:tc>
      </w:tr>
    </w:tbl>
    <w:p>
      <w:pPr>
        <w:pStyle w:val="Heading2"/>
      </w:pPr>
      <w:r>
        <w:t>B. Computer Networks (CN) features</w:t>
      </w:r>
    </w:p>
    <w:tbl>
      <w:tblPr>
        <w:tblStyle w:val="LightShading-Accent1"/>
        <w:tblW w:type="auto" w:w="0"/>
        <w:tblLook w:firstColumn="1" w:firstRow="1" w:lastColumn="0" w:lastRow="0" w:noHBand="0" w:noVBand="1" w:val="04A0"/>
      </w:tblPr>
      <w:tblGrid>
        <w:gridCol w:w="5083"/>
        <w:gridCol w:w="5083"/>
      </w:tblGrid>
      <w:tr>
        <w:tc>
          <w:tcPr>
            <w:tcW w:type="dxa" w:w="5083"/>
            <w:shd w:fill="D9EAF7"/>
          </w:tcPr>
          <w:p>
            <w:r>
              <w:t>Feature</w:t>
            </w:r>
          </w:p>
        </w:tc>
        <w:tc>
          <w:tcPr>
            <w:tcW w:type="dxa" w:w="5083"/>
            <w:shd w:fill="D9EAF7"/>
          </w:tcPr>
          <w:p>
            <w:r>
              <w:t>Requirement</w:t>
            </w:r>
          </w:p>
        </w:tc>
      </w:tr>
      <w:tr>
        <w:tc>
          <w:tcPr>
            <w:tcW w:type="dxa" w:w="5083"/>
          </w:tcPr>
          <w:p>
            <w:r>
              <w:t>Network/API security monitoring</w:t>
            </w:r>
          </w:p>
        </w:tc>
        <w:tc>
          <w:tcPr>
            <w:tcW w:type="dxa" w:w="5083"/>
          </w:tcPr>
          <w:p>
            <w:r>
              <w:t>Record API request counts and response classes, repeated failed logins, rate-limit events, processing failures and unusual spikes. Provide an admin view and auditable alerts. Avoid logging passwords, tokens, full sensitive documents or unnecessary personal data.</w:t>
            </w:r>
          </w:p>
        </w:tc>
      </w:tr>
      <w:tr>
        <w:tc>
          <w:tcPr>
            <w:tcW w:type="dxa" w:w="5083"/>
          </w:tcPr>
          <w:p>
            <w:r>
              <w:t>Reliable FDR Processing Pipeline</w:t>
            </w:r>
          </w:p>
        </w:tc>
        <w:tc>
          <w:tcPr>
            <w:tcW w:type="dxa" w:w="5083"/>
          </w:tcPr>
          <w:p>
            <w:r>
              <w:t>Put document-processing jobs into a queue; show Queued/Processing/Completed/Failed states; use timeouts, bounded retries with backoff, failure reasons and a dead-letter/manual-retry path where feasible.</w:t>
            </w:r>
          </w:p>
        </w:tc>
      </w:tr>
      <w:tr>
        <w:tc>
          <w:tcPr>
            <w:tcW w:type="dxa" w:w="5083"/>
          </w:tcPr>
          <w:p>
            <w:r>
              <w:t>Safe retries and idempotency</w:t>
            </w:r>
          </w:p>
        </w:tc>
        <w:tc>
          <w:tcPr>
            <w:tcW w:type="dxa" w:w="5083"/>
          </w:tcPr>
          <w:p>
            <w:r>
              <w:t>Give each submission/job a stable idempotency key or equivalent uniqueness rule. Retrying the same operation must not create a second FDR record, duplicate audit decision or repeat a completed side effect.</w:t>
            </w:r>
          </w:p>
        </w:tc>
      </w:tr>
      <w:tr>
        <w:tc>
          <w:tcPr>
            <w:tcW w:type="dxa" w:w="5083"/>
          </w:tcPr>
          <w:p>
            <w:r>
              <w:t>Background document processing</w:t>
            </w:r>
          </w:p>
        </w:tc>
        <w:tc>
          <w:tcPr>
            <w:tcW w:type="dxa" w:w="5083"/>
          </w:tcPr>
          <w:p>
            <w:r>
              <w:t>Move OCR, hash/signature checks and supported analysis into background workers so upload/API responses remain responsive. For a local prototype, a lightweight in-process worker or SQLite-backed job table is acceptable; avoid claiming production-grade distributed scalability.</w:t>
            </w:r>
          </w:p>
        </w:tc>
      </w:tr>
    </w:tbl>
    <w:p>
      <w:pPr>
        <w:pStyle w:val="Heading2"/>
      </w:pPr>
      <w:r>
        <w:t>C. Data Structures and Algorithms (DSA) features</w:t>
      </w:r>
    </w:p>
    <w:tbl>
      <w:tblPr>
        <w:tblStyle w:val="LightShading-Accent1"/>
        <w:tblW w:type="auto" w:w="0"/>
        <w:tblLook w:firstColumn="1" w:firstRow="1" w:lastColumn="0" w:lastRow="0" w:noHBand="0" w:noVBand="1" w:val="04A0"/>
      </w:tblPr>
      <w:tblGrid>
        <w:gridCol w:w="5083"/>
        <w:gridCol w:w="5083"/>
      </w:tblGrid>
      <w:tr>
        <w:tc>
          <w:tcPr>
            <w:tcW w:type="dxa" w:w="5083"/>
            <w:shd w:fill="D9EAF7"/>
          </w:tcPr>
          <w:p>
            <w:r>
              <w:t>DSA concept</w:t>
            </w:r>
          </w:p>
        </w:tc>
        <w:tc>
          <w:tcPr>
            <w:tcW w:type="dxa" w:w="5083"/>
            <w:shd w:fill="D9EAF7"/>
          </w:tcPr>
          <w:p>
            <w:r>
              <w:t>Requirement</w:t>
            </w:r>
          </w:p>
        </w:tc>
      </w:tr>
      <w:tr>
        <w:tc>
          <w:tcPr>
            <w:tcW w:type="dxa" w:w="5083"/>
          </w:tcPr>
          <w:p>
            <w:r>
              <w:t>FDR lifecycle graph — BFS/DFS</w:t>
            </w:r>
          </w:p>
        </w:tc>
        <w:tc>
          <w:tcPr>
            <w:tcW w:type="dxa" w:w="5083"/>
          </w:tcPr>
          <w:p>
            <w:r>
              <w:t>Store explicit relationship edges among original instruments, renewals/replacements, supporting documents and requests. Provide a trace-history action using BFS/DFS and guard against cycles or inaccessible records.</w:t>
            </w:r>
          </w:p>
        </w:tc>
      </w:tr>
      <w:tr>
        <w:tc>
          <w:tcPr>
            <w:tcW w:type="dxa" w:w="5083"/>
          </w:tcPr>
          <w:p>
            <w:r>
              <w:t>Urgency queue — priority queue/heap</w:t>
            </w:r>
          </w:p>
        </w:tc>
        <w:tc>
          <w:tcPr>
            <w:tcW w:type="dxa" w:w="5083"/>
          </w:tcPr>
          <w:p>
            <w:r>
              <w:t>Use a priority queue or heap in the review-queue service. Priority comes from versioned, database-backed rules/configuration, and every displayed priority includes an explanation. Persist cases in the database; do not rely on an in-memory heap as the source of truth.</w:t>
            </w:r>
          </w:p>
        </w:tc>
      </w:tr>
      <w:tr>
        <w:tc>
          <w:tcPr>
            <w:tcW w:type="dxa" w:w="5083"/>
          </w:tcPr>
          <w:p>
            <w:r>
              <w:t>Fast lookup and duplicate flags — indexes/hashing</w:t>
            </w:r>
          </w:p>
        </w:tc>
        <w:tc>
          <w:tcPr>
            <w:tcW w:type="dxa" w:w="5083"/>
          </w:tcPr>
          <w:p>
            <w:r>
              <w:t>Use database indexes and uniqueness constraints for normalized identifiers within the appropriate scope; use SHA-256 for exact-file duplicate detection and optional normalized/fuzzy matching to flag candidates. A match is not proof of fraud.</w:t>
            </w:r>
          </w:p>
        </w:tc>
      </w:tr>
      <w:tr>
        <w:tc>
          <w:tcPr>
            <w:tcW w:type="dxa" w:w="5083"/>
          </w:tcPr>
          <w:p>
            <w:r>
              <w:t>Workflow state machine</w:t>
            </w:r>
          </w:p>
        </w:tc>
        <w:tc>
          <w:tcPr>
            <w:tcW w:type="dxa" w:w="5083"/>
          </w:tcPr>
          <w:p>
            <w:r>
              <w:t>Define allowed transitions as configurable workflow data where practical and validate them server-side. Enforce role/permission checks, required evidence and separation of duties. Invalid transitions must fail safely and create an appropriate audit event.</w:t>
            </w:r>
          </w:p>
        </w:tc>
      </w:tr>
    </w:tbl>
    <w:p>
      <w:pPr>
        <w:pStyle w:val="Heading2"/>
      </w:pPr>
      <w:r>
        <w:t>D. Implementation priority and scope</w:t>
      </w:r>
    </w:p>
    <w:p>
      <w:pPr>
        <w:pStyle w:val="ListBullet"/>
      </w:pPr>
      <w:r>
        <w:t>P0 — Core prototype: SHA-256 file-integrity history; FDR relationship links/history; configurable urgency queue with explanations; server-enforced workflow state machine; indexed identifier lookup and exact-file duplicate flags; clear manual/simulated bank-verification modes; evidence-linked audit dossier.</w:t>
      </w:r>
    </w:p>
    <w:p>
      <w:pPr>
        <w:pStyle w:val="ListBullet"/>
      </w:pPr>
      <w:r>
        <w:t>P1 — Strong demo: reliable processing pipeline with queue states, bounded retries and idempotency; background document processing; API/security-event monitoring; accessible multilingual/read-aloud interface.</w:t>
      </w:r>
    </w:p>
    <w:p>
      <w:pPr>
        <w:pStyle w:val="ListBullet"/>
      </w:pPr>
      <w:r>
        <w:t>P2 — Advanced/conditional: tamper localization, only if a suitable model/library and defensible evaluation are available; live bank integration, only with formal authorization and usable official interfaces.</w:t>
      </w:r>
    </w:p>
    <w:p>
      <w:r>
        <w:t>These are project-team implementation priorities, not official AICTE priorities. Under a short hackathon deadline, a truthful, well-tested P0/P1 prototype is stronger than a broad feature list with simulated or incomplete functions presented as live.</w:t>
      </w:r>
    </w:p>
    <w:p>
      <w:pPr>
        <w:pStyle w:val="Heading2"/>
      </w:pPr>
      <w:r>
        <w:t>E. Configuration-first rule (Golden Rule #1)</w:t>
      </w:r>
    </w:p>
    <w:p>
      <w:r>
        <w:t>Business-related values must not be hardcoded in application logic. Use validated, versioned configuration/database records for maturity windows, reminder timing, urgency weights, retry limits/timeouts, workflow transitions, document requirements, OCR mappings, bank mode, roles and institution-specific policy. Every configurable rule should have a test proving that changing the configuration changes behavior without a source-code edit. Keep secrets in environment variables/secret storage, never in source control. Fixed technical invariants (for example SHA-256 as the chosen integrity algorithm) may remain code-level decisions.</w:t>
      </w:r>
    </w:p>
    <w:p>
      <w:pPr>
        <w:pStyle w:val="Heading2"/>
      </w:pPr>
      <w:r>
        <w:t>F. Acceptance tests to add</w:t>
      </w:r>
    </w:p>
    <w:p>
      <w:pPr>
        <w:pStyle w:val="ListNumber"/>
      </w:pPr>
      <w:r>
        <w:t>Changing a configured maturity window changes reminder/priority behavior without code edits.</w:t>
      </w:r>
    </w:p>
    <w:p>
      <w:pPr>
        <w:pStyle w:val="ListNumber"/>
      </w:pPr>
      <w:r>
        <w:t>A changed file produces an integrity mismatch against its original stored SHA-256; an unchanged file passes the integrity comparison.</w:t>
      </w:r>
    </w:p>
    <w:p>
      <w:pPr>
        <w:pStyle w:val="ListNumber"/>
      </w:pPr>
      <w:r>
        <w:t>The lifecycle trace shows linked original/replacement/request records and does not leak another institution's records.</w:t>
      </w:r>
    </w:p>
    <w:p>
      <w:pPr>
        <w:pStyle w:val="ListNumber"/>
      </w:pPr>
      <w:r>
        <w:t>An overdue case ranks ahead of a routine case according to the active configuration, with a displayed reason.</w:t>
      </w:r>
    </w:p>
    <w:p>
      <w:pPr>
        <w:pStyle w:val="ListNumber"/>
      </w:pPr>
      <w:r>
        <w:t>An invalid workflow transition is rejected by the backend, even if a client calls the API directly.</w:t>
      </w:r>
    </w:p>
    <w:p>
      <w:pPr>
        <w:pStyle w:val="ListNumber"/>
      </w:pPr>
      <w:r>
        <w:t>Retrying the same upload-processing job does not create duplicate records or duplicate side effects.</w:t>
      </w:r>
    </w:p>
    <w:p>
      <w:pPr>
        <w:pStyle w:val="ListNumber"/>
      </w:pPr>
      <w:r>
        <w:t>A transient job failure retries only within configured limits and ends in a visible terminal/manual-review state.</w:t>
      </w:r>
    </w:p>
    <w:p>
      <w:pPr>
        <w:pStyle w:val="ListNumber"/>
      </w:pPr>
      <w:r>
        <w:t>API/security monitoring records repeated failed logins without storing credentials or tokens.</w:t>
      </w:r>
    </w:p>
    <w:p>
      <w:pPr>
        <w:pStyle w:val="ListNumber"/>
      </w:pPr>
      <w:r>
        <w:t>Simulated bank verification is visibly labelled SIMULATED in the UI, logs and generated dossier.</w:t>
      </w:r>
    </w:p>
    <w:p>
      <w:pPr>
        <w:pStyle w:val="ListNumber"/>
      </w:pPr>
      <w:r>
        <w:t>Tamper localization is marked unavailable/not completed when no supported model ran; no fabricated region overlay is displayed.</w:t>
      </w:r>
    </w:p>
    <w:p>
      <w:pPr>
        <w:pStyle w:val="ListNumber"/>
      </w:pPr>
      <w:r>
        <w:t>Each dossier lists actual checks and their outcomes; unavailable, indeterminate and failed checks are never silently treated as passed.</w:t>
      </w:r>
    </w:p>
    <w:p>
      <w:r>
        <w:rPr>
          <w:i/>
        </w:rPr>
        <w:t>Status note: this document specifies the intended plan. It does not certify that any feature is implemented, integrated with AICTE/banks, or validated on real-world FDR data.</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Working design document • Research cut-off: 26 October 2026 • Verify applicable policy before deployment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E8B"/>
      </w:rPr>
      <w:t>DEPOSITGUARD  |  MASTER PROJECT REFERENCE  |  AICTE PS1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02A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E5EA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cte.gov.in/sites/default/files/RFPeGov.pdf" TargetMode="External"/><Relationship Id="rId12" Type="http://schemas.openxmlformats.org/officeDocument/2006/relationships/hyperlink" Target="https://www.aicte.gov.in/sites/default/files/APH%20Final.pdf" TargetMode="External"/><Relationship Id="rId13" Type="http://schemas.openxmlformats.org/officeDocument/2006/relationships/hyperlink" Target="https://dte.maharashtra.gov.in/wp-content/uploads/2020/06/RFP-eGov-Retender.pdf" TargetMode="External"/><Relationship Id="rId14" Type="http://schemas.openxmlformats.org/officeDocument/2006/relationships/hyperlink" Target="https://openaccess.thecvf.com/content/CVPR2023/html/Qu_Towards_Robust_Tampered_Text_Detection_in_Document_Image_New_Dataset_CVPR_2023_paper.html" TargetMode="External"/><Relationship Id="rId15" Type="http://schemas.openxmlformats.org/officeDocument/2006/relationships/hyperlink" Target="https://github.com/qcf-568/DocTamper" TargetMode="External"/><Relationship Id="rId16" Type="http://schemas.openxmlformats.org/officeDocument/2006/relationships/hyperlink" Target="https://arxiv.org/abs/2511.14998" TargetMode="External"/><Relationship Id="rId17" Type="http://schemas.openxmlformats.org/officeDocument/2006/relationships/hyperlink" Target="https://github.com/The-FinAI/FinCriticalED" TargetMode="External"/><Relationship Id="rId18" Type="http://schemas.openxmlformats.org/officeDocument/2006/relationships/hyperlink" Target="https://docs.pyhanko.eu/en/latest/cli-guide/validation.html" TargetMode="External"/><Relationship Id="rId19" Type="http://schemas.openxmlformats.org/officeDocument/2006/relationships/hyperlink" Target="https://csrc.nist.gov/pubs/fips/180-4/upd1/final" TargetMode="External"/><Relationship Id="rId20" Type="http://schemas.openxmlformats.org/officeDocument/2006/relationships/hyperlink" Target="https://csrc.nist.gov/glossary/term/SHA_256" TargetMode="External"/><Relationship Id="rId21" Type="http://schemas.openxmlformats.org/officeDocument/2006/relationships/hyperlink" Target="https://cheatsheetseries.owasp.org/cheatsheets/File_Upload_Cheat_Sheet.html" TargetMode="External"/><Relationship Id="rId22" Type="http://schemas.openxmlformats.org/officeDocument/2006/relationships/hyperlink" Target="https://cheatsheetseries.owasp.org/cheatsheets/Logging_Cheat_Sheet.html" TargetMode="External"/><Relationship Id="rId23" Type="http://schemas.openxmlformats.org/officeDocument/2006/relationships/hyperlink" Target="https://xplorestaging.ieee.org/document/11620092" TargetMode="External"/><Relationship Id="rId24" Type="http://schemas.openxmlformats.org/officeDocument/2006/relationships/hyperlink" Target="https://www.meity.gov.in/static/uploads/2024/02/Digital-Personal-Data-Protection-Act-2023.pdf" TargetMode="External"/><Relationship Id="rId25" Type="http://schemas.openxmlformats.org/officeDocument/2006/relationships/hyperlink" Target="https://www.icici.bank.in/business-banking/cms/corporate-api-suite/other-services-api" TargetMode="External"/><Relationship Id="rId26" Type="http://schemas.openxmlformats.org/officeDocument/2006/relationships/hyperlink" Target="https://www.icici.bank.in/business-banking/fixed-deposit/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