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5A" w:rsidRPr="001A215A" w:rsidRDefault="001A215A" w:rsidP="001A215A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color w:val="111111"/>
          <w:sz w:val="30"/>
          <w:szCs w:val="30"/>
        </w:rPr>
      </w:pPr>
      <w:r w:rsidRPr="001A215A">
        <w:rPr>
          <w:rFonts w:ascii="Helvetica" w:eastAsia="Times New Roman" w:hAnsi="Helvetica" w:cs="Helvetica"/>
          <w:color w:val="111111"/>
          <w:sz w:val="30"/>
          <w:szCs w:val="30"/>
        </w:rPr>
        <w:t>Stop Words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Stop words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are words that are particularly common in a text corpus and thus considered as rather un-informative (e.g., words such as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so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,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and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,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or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,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the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, …”). One approach to stop word removal is to search against a language-specific stop word dictionary. An alternative approach is to create a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stop list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by sorting all words in the entire text corpus by frequency. The stop list — after conversion into a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set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of non-redundant words — is then used to remove all those words from the input documents that are ranked among the top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n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words in this stop list.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Table 3.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Example of stop word removal.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</w:rPr>
        <w:drawing>
          <wp:inline distT="0" distB="0" distL="0" distR="0">
            <wp:extent cx="2971800" cy="771525"/>
            <wp:effectExtent l="19050" t="0" r="0" b="0"/>
            <wp:docPr id="1" name="Picture 1" descr="https://sebastianraschka.com/images/blog/2014/naive_bayes_1/sto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bastianraschka.com/images/blog/2014/naive_bayes_1/stop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5A" w:rsidRPr="001A215A" w:rsidRDefault="001A215A" w:rsidP="001A215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111111"/>
          <w:sz w:val="39"/>
          <w:szCs w:val="39"/>
        </w:rPr>
      </w:pPr>
      <w:r w:rsidRPr="001A215A">
        <w:rPr>
          <w:rFonts w:ascii="Helvetica" w:eastAsia="Times New Roman" w:hAnsi="Helvetica" w:cs="Helvetica"/>
          <w:color w:val="111111"/>
          <w:sz w:val="39"/>
          <w:szCs w:val="39"/>
        </w:rPr>
        <w:t>Stemming and Lemmatization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Stemming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describes the process of transforming a word into its root form. The original stemming algorithm was developed my Martin F. Porter in 1979 and is hence known as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Porter stemmer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[</w:t>
      </w:r>
      <w:hyperlink r:id="rId5" w:anchor="References" w:history="1">
        <w:r w:rsidRPr="001A215A">
          <w:rPr>
            <w:rFonts w:ascii="Helvetica" w:eastAsia="Times New Roman" w:hAnsi="Helvetica" w:cs="Helvetica"/>
            <w:color w:val="1756A9"/>
            <w:sz w:val="24"/>
            <w:szCs w:val="24"/>
            <w:u w:val="single"/>
          </w:rPr>
          <w:t>8</w:t>
        </w:r>
      </w:hyperlink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].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Table 4.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Example of Porter Stemming.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</w:rPr>
        <w:drawing>
          <wp:inline distT="0" distB="0" distL="0" distR="0">
            <wp:extent cx="3429000" cy="704850"/>
            <wp:effectExtent l="19050" t="0" r="0" b="0"/>
            <wp:docPr id="2" name="Picture 2" descr="https://sebastianraschka.com/images/blog/2014/naive_bayes_1/por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bastianraschka.com/images/blog/2014/naive_bayes_1/porter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Stemming can create non-real words, such as “</w:t>
      </w:r>
      <w:proofErr w:type="spellStart"/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thu</w:t>
      </w:r>
      <w:proofErr w:type="spellEnd"/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” in the example above. In contrast to stemming,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lemmatization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aims to obtain the canonical (grammatically correct) forms of the words, the so-called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lemmas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. Lemmatization is computationally more difficult and expensive than stemming, and in practice, both stemming and lemmatization have little impact on the performance of text classification [</w:t>
      </w:r>
      <w:hyperlink r:id="rId7" w:anchor="References" w:history="1">
        <w:r w:rsidRPr="001A215A">
          <w:rPr>
            <w:rFonts w:ascii="Helvetica" w:eastAsia="Times New Roman" w:hAnsi="Helvetica" w:cs="Helvetica"/>
            <w:color w:val="1756A9"/>
            <w:sz w:val="24"/>
            <w:szCs w:val="24"/>
            <w:u w:val="single"/>
          </w:rPr>
          <w:t>9</w:t>
        </w:r>
      </w:hyperlink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].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Table 4.</w:t>
      </w: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r w:rsidRPr="001A215A">
        <w:rPr>
          <w:rFonts w:ascii="Helvetica" w:eastAsia="Times New Roman" w:hAnsi="Helvetica" w:cs="Helvetica"/>
          <w:i/>
          <w:iCs/>
          <w:color w:val="111111"/>
          <w:sz w:val="24"/>
          <w:szCs w:val="24"/>
        </w:rPr>
        <w:t>Example of Lemmatization.</w:t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111111"/>
          <w:sz w:val="24"/>
          <w:szCs w:val="24"/>
        </w:rPr>
        <w:drawing>
          <wp:inline distT="0" distB="0" distL="0" distR="0">
            <wp:extent cx="3838575" cy="638175"/>
            <wp:effectExtent l="19050" t="0" r="9525" b="0"/>
            <wp:docPr id="3" name="Picture 3" descr="https://sebastianraschka.com/images/blog/2014/naive_bayes_1/lemm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bastianraschka.com/images/blog/2014/naive_bayes_1/lemm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5A" w:rsidRPr="001A215A" w:rsidRDefault="001A215A" w:rsidP="001A215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(The stemming and lemmatization examples were created by using the Python NLTK library, </w:t>
      </w:r>
      <w:hyperlink r:id="rId9" w:history="1">
        <w:r w:rsidRPr="001A215A">
          <w:rPr>
            <w:rFonts w:ascii="Helvetica" w:eastAsia="Times New Roman" w:hAnsi="Helvetica" w:cs="Helvetica"/>
            <w:color w:val="1756A9"/>
            <w:sz w:val="24"/>
            <w:szCs w:val="24"/>
            <w:u w:val="single"/>
          </w:rPr>
          <w:t>http://www.nltk.org</w:t>
        </w:r>
      </w:hyperlink>
      <w:r w:rsidRPr="001A215A">
        <w:rPr>
          <w:rFonts w:ascii="Helvetica" w:eastAsia="Times New Roman" w:hAnsi="Helvetica" w:cs="Helvetica"/>
          <w:color w:val="111111"/>
          <w:sz w:val="24"/>
          <w:szCs w:val="24"/>
        </w:rPr>
        <w:t>.)</w:t>
      </w:r>
    </w:p>
    <w:p w:rsidR="00370400" w:rsidRDefault="00370400"/>
    <w:sectPr w:rsidR="00370400" w:rsidSect="0037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215A"/>
    <w:rsid w:val="001A215A"/>
    <w:rsid w:val="0037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400"/>
  </w:style>
  <w:style w:type="paragraph" w:styleId="Heading3">
    <w:name w:val="heading 3"/>
    <w:basedOn w:val="Normal"/>
    <w:link w:val="Heading3Char"/>
    <w:uiPriority w:val="9"/>
    <w:qFormat/>
    <w:rsid w:val="001A2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1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1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1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1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215A"/>
    <w:rPr>
      <w:i/>
      <w:iCs/>
    </w:rPr>
  </w:style>
  <w:style w:type="character" w:styleId="Strong">
    <w:name w:val="Strong"/>
    <w:basedOn w:val="DefaultParagraphFont"/>
    <w:uiPriority w:val="22"/>
    <w:qFormat/>
    <w:rsid w:val="001A21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ebastianraschka.com/Articles/2014_naive_bayes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ebastianraschka.com/Articles/2014_naive_bayes_1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Dhrumil</dc:creator>
  <cp:lastModifiedBy>Dhrumil</cp:lastModifiedBy>
  <cp:revision>1</cp:revision>
  <dcterms:created xsi:type="dcterms:W3CDTF">2018-06-20T14:39:00Z</dcterms:created>
  <dcterms:modified xsi:type="dcterms:W3CDTF">2018-06-20T14:40:00Z</dcterms:modified>
</cp:coreProperties>
</file>