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b/>
          <w:color w:val="C99A53"/>
          <w:sz w:val="20"/>
        </w:rPr>
        <w:t>HACK IN HILLS ’26  |  PS-03</w:t>
      </w:r>
    </w:p>
    <w:p>
      <w:pPr>
        <w:pStyle w:val="Title"/>
        <w:spacing w:before="240"/>
      </w:pPr>
      <w:r>
        <w:t>Product Requirements</w:t>
        <w:br/>
        <w:t>Document (PRD)</w:t>
      </w:r>
    </w:p>
    <w:p>
      <w:pPr>
        <w:pStyle w:val="Subtitle"/>
      </w:pPr>
      <w:r>
        <w:t>Backend integration plan that preserves the current frontend and original data assets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52"/>
      </w:tblGrid>
      <w:tr>
        <w:tc>
          <w:tcPr>
            <w:tcW w:type="dxa" w:w="10166"/>
            <w:shd w:fill="66202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31"/>
        <w:gridCol w:w="8136"/>
      </w:tblGrid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Version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1.0 — Backend integration baseline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Date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 October 2026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Status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Implementation-ready draft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Application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Existing React + TypeScript + Vite frontend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Backend target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 + PostgreSQL modular monolith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Data handling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Original frontend and source data files preserved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Primary objective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Add a reliable backend without redesigning the existing UI</w:t>
            </w:r>
          </w:p>
        </w:tc>
      </w:tr>
    </w:tbl>
    <w:p/>
    <w:p>
      <w:pPr>
        <w:spacing w:before="160"/>
      </w:pPr>
      <w:r>
        <w:rPr>
          <w:b/>
          <w:color w:val="662023"/>
          <w:sz w:val="18"/>
        </w:rPr>
        <w:t>PRESERVATION RULE</w:t>
      </w:r>
    </w:p>
    <w:p>
      <w:pPr>
        <w:ind w:left="115" w:right="115"/>
      </w:pPr>
      <w:r>
        <w:rPr>
          <w:sz w:val="18"/>
        </w:rPr>
        <w:t>The existing UI and original data files are protected assets. Add the backend beside the frontend, read source files without modifying them, and introduce only a small API adapter for data access. Keep local demo mode available until the backend is validated.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 w:val="true"/>
          <w:cantSplit/>
        </w:trPr>
        <w:tc>
          <w:tcPr>
            <w:tcW w:type="dxa" w:w="2016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208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Purpose</w:t>
            </w:r>
          </w:p>
        </w:tc>
        <w:tc>
          <w:tcPr>
            <w:tcW w:type="dxa" w:w="82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Define the product outcomes, scope, acceptance criteria and staged rollout for adding a reliable backend to the existing MCX Gold Intelligence application.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Current baseline</w:t>
            </w:r>
          </w:p>
        </w:tc>
        <w:tc>
          <w:tcPr>
            <w:tcW w:type="dxa" w:w="82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React 18 + TypeScript + Vite; existing dashboard pages, chart components and local typed datasets.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Design principle</w:t>
            </w:r>
          </w:p>
        </w:tc>
        <w:tc>
          <w:tcPr>
            <w:tcW w:type="dxa" w:w="82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Preserve all current visual components, layout, colour palette and demo workflows.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Data principle</w:t>
            </w:r>
          </w:p>
        </w:tc>
        <w:tc>
          <w:tcPr>
            <w:tcW w:type="dxa" w:w="82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Treat source files as immutable inputs; import into separate staging/normalized storage with provenance.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Status</w:t>
            </w:r>
          </w:p>
        </w:tc>
        <w:tc>
          <w:tcPr>
            <w:tcW w:type="dxa" w:w="82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Implementation specification; market-data correctness remains subject to source validation.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rPr>
          <w:i w:val="0"/>
        </w:rPr>
        <w:t>MCX Gold Intelligence currently runs as a frontend-only React/TypeScript/Vite application with local TypeScript datasets and a browser-side median/MAD novelty-scoring baseline. The goal is to add a backend that provides centralized storage, source-data ingestion, normalization, pairwise relative-value features, anomaly scoring, signals and reproducible backtesting while keeping the existing UI visually unchanged.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E6D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662023"/>
              </w:rPr>
              <w:t xml:space="preserve">Non-negotiable  </w:t>
            </w:r>
            <w:r>
              <w:t>Do not delete, rename, rewrite, reformat or move the existing frontend source tree or original market-data files. The backend is additive. Any frontend integration change must be limited to a thin data-access adapter and minimal call-site changes, with a working local-demo fallback.</w:t>
            </w:r>
          </w:p>
        </w:tc>
      </w:tr>
    </w:tbl>
    <w:p>
      <w:pPr>
        <w:pStyle w:val="Heading1"/>
      </w:pPr>
      <w:r>
        <w:t>2. Current-state baseline</w:t>
      </w:r>
    </w:p>
    <w:p>
      <w:r>
        <w:rPr>
          <w:i w:val="0"/>
        </w:rPr>
        <w:t>The repository snapshot contains index.html, package.json, Vite/Tailwind/TypeScript configuration, src/App.tsx, reusable components, eight main page modules, local data modules and src/lib/anomalyScore.ts. The existing pages include Dashboard, Signals, Contracts, Comparison, Model Demo, Market Insights, Learn and Backtest &amp; Events.</w:t>
      </w:r>
    </w:p>
    <w:p>
      <w:r>
        <w:rPr>
          <w:i w:val="0"/>
        </w:rPr>
        <w:t>Existing local datasets include contracts.ts, marketSeries.ts, spreads.ts, noveltyTraining.ts, testObservations.ts, signals.ts, historicalEvents.ts, researchCards.ts and backtestScenarios.ts. These must remain available as a local mode during migration.</w:t>
      </w:r>
    </w:p>
    <w:p>
      <w:r>
        <w:rPr>
          <w:i w:val="0"/>
        </w:rPr>
        <w:t>The supplied source-data folder contains contract PDFs and date-wise detail/summary reports, plus separate commodity-wise BhavCopy examples. Files with an .xls extension may be HTML tables rather than native Excel workbooks; the importer must detect content format instead of trusting the extension alone.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0D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B87928"/>
              </w:rPr>
              <w:t xml:space="preserve">Known integration risk  </w:t>
            </w:r>
            <w:r>
              <w:t>The current frontend contains a legacy pair identifier REST-GOLDPETAL where the canonical pair is GOLDGUINEA-GOLDPETAL. The backend must use canonical identifiers and a compatibility adapter must preserve existing frontend behavior until a deliberate frontend fix is approved.</w:t>
            </w:r>
          </w:p>
        </w:tc>
      </w:tr>
    </w:tbl>
    <w:p>
      <w:pPr>
        <w:pStyle w:val="Heading1"/>
      </w:pPr>
      <w:r>
        <w:t>3. Product vision and goals</w:t>
      </w:r>
    </w:p>
    <w:p>
      <w:pPr>
        <w:pStyle w:val="Heading2"/>
      </w:pPr>
      <w:r>
        <w:t>3.1 Product vision</w:t>
      </w:r>
    </w:p>
    <w:p>
      <w:r>
        <w:rPr>
          <w:i w:val="0"/>
        </w:rPr>
        <w:t>Provide a reliable analytical service behind the current product that turns traceable source records into contract-aware, normalized relative-value observations and explainable anomaly outputs, then exposes them to the existing dashboard.</w:t>
      </w:r>
    </w:p>
    <w:p>
      <w:pPr>
        <w:pStyle w:val="Heading2"/>
      </w:pPr>
      <w:r>
        <w:t>3.2 Goals</w:t>
      </w:r>
    </w:p>
    <w:p>
      <w:pPr>
        <w:pStyle w:val="ListBullet"/>
        <w:spacing w:after="40"/>
      </w:pPr>
      <w:r>
        <w:t>Keep the existing React UI visually and behaviourally consistent while moving data and analytics behind versioned APIs.</w:t>
      </w:r>
    </w:p>
    <w:p>
      <w:pPr>
        <w:pStyle w:val="ListBullet"/>
        <w:spacing w:after="40"/>
      </w:pPr>
      <w:r>
        <w:t>Preserve original source files; record file hashes, source paths, import attempts and validation results.</w:t>
      </w:r>
    </w:p>
    <w:p>
      <w:pPr>
        <w:pStyle w:val="ListBullet"/>
        <w:spacing w:after="40"/>
      </w:pPr>
      <w:r>
        <w:t>Distinguish futures price data from aggregate activity reports, options data, contract specifications and illustrative demo data.</w:t>
      </w:r>
    </w:p>
    <w:p>
      <w:pPr>
        <w:pStyle w:val="ListBullet"/>
        <w:spacing w:after="40"/>
      </w:pPr>
      <w:r>
        <w:t>Maintain a canonical contract/pair model and version contract specifications by effective date.</w:t>
      </w:r>
    </w:p>
    <w:p>
      <w:pPr>
        <w:pStyle w:val="ListBullet"/>
        <w:spacing w:after="40"/>
      </w:pPr>
      <w:r>
        <w:t>Centralize normalization and anomaly-scoring logic so the frontend does not become a competing source of analytics truth.</w:t>
      </w:r>
    </w:p>
    <w:p>
      <w:pPr>
        <w:pStyle w:val="ListBullet"/>
        <w:spacing w:after="40"/>
      </w:pPr>
      <w:r>
        <w:t>Provide traceable data-quality outcomes and explicit statuses: verified, provisional, illustrative or quarantined.</w:t>
      </w:r>
    </w:p>
    <w:p>
      <w:pPr>
        <w:pStyle w:val="ListBullet"/>
        <w:spacing w:after="40"/>
      </w:pPr>
      <w:r>
        <w:t>Provide the foundation for walk-forward backtesting without look-ahead leakage or unsupported profit claims.</w:t>
      </w:r>
    </w:p>
    <w:p>
      <w:pPr>
        <w:pStyle w:val="Heading2"/>
      </w:pPr>
      <w:r>
        <w:t>3.3 Non-goals for the first backend release</w:t>
      </w:r>
    </w:p>
    <w:p>
      <w:pPr>
        <w:pStyle w:val="ListBullet"/>
        <w:spacing w:after="40"/>
      </w:pPr>
      <w:r>
        <w:t>No broker integration or real-money order execution.</w:t>
      </w:r>
    </w:p>
    <w:p>
      <w:pPr>
        <w:pStyle w:val="ListBullet"/>
        <w:spacing w:after="40"/>
      </w:pPr>
      <w:r>
        <w:t>No prediction guarantee, investment advice or profitability guarantee.</w:t>
      </w:r>
    </w:p>
    <w:p>
      <w:pPr>
        <w:pStyle w:val="ListBullet"/>
        <w:spacing w:after="40"/>
      </w:pPr>
      <w:r>
        <w:t>No requirement to replace the frontend design system or redesign the existing pages.</w:t>
      </w:r>
    </w:p>
    <w:p>
      <w:pPr>
        <w:pStyle w:val="ListBullet"/>
        <w:spacing w:after="40"/>
      </w:pPr>
      <w:r>
        <w:t>No automatic extraction of legally/economically authoritative contract rules from PDFs without verification.</w:t>
      </w:r>
    </w:p>
    <w:p>
      <w:pPr>
        <w:pStyle w:val="ListBullet"/>
        <w:spacing w:after="40"/>
      </w:pPr>
      <w:r>
        <w:t>No forced adoption of a deep-learning model before a simple statistical baseline and data pipeline are validated.</w:t>
      </w:r>
    </w:p>
    <w:p>
      <w:pPr>
        <w:pStyle w:val="ListBullet"/>
        <w:spacing w:after="40"/>
      </w:pPr>
      <w:r>
        <w:t>No destructive cleanup or in-place conversion of the uploaded source files.</w:t>
      </w:r>
    </w:p>
    <w:p>
      <w:pPr>
        <w:pStyle w:val="Heading1"/>
      </w:pPr>
      <w:r>
        <w:t>4. Target users and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824"/>
      </w:tblGrid>
      <w:tr>
        <w:trPr>
          <w:tblHeader w:val="true"/>
          <w:cantSplit/>
        </w:trPr>
        <w:tc>
          <w:tcPr>
            <w:tcW w:type="dxa" w:w="180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User / system actor</w:t>
            </w:r>
          </w:p>
        </w:tc>
        <w:tc>
          <w:tcPr>
            <w:tcW w:type="dxa" w:w="360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Primary need</w:t>
            </w:r>
          </w:p>
        </w:tc>
        <w:tc>
          <w:tcPr>
            <w:tcW w:type="dxa" w:w="4824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Expected outcome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Research user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Inspect contracts, series, spreads and anomaly reasoning.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The same UI pages load data consistently from an API.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Prototype/demo user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Open the website even if backend or market data is unavailable.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Local demo mode remains functional and clearly labelled.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Data maintainer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Import new files and understand what was accepted or rejected.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A traceable ingestion report with row-level reasons.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Analyst / model reviewer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Reproduce a calibration and score an observation.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Versioned, pair-specific statistics and deterministic score output.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Developer</w:t>
            </w:r>
          </w:p>
        </w:tc>
        <w:tc>
          <w:tcPr>
            <w:tcW w:type="dxa" w:w="36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Change backend logic without touching original data files.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Separated API, services, repository and source-data directories.</w:t>
            </w:r>
          </w:p>
        </w:tc>
      </w:tr>
    </w:tbl>
    <w:p>
      <w:pPr>
        <w:spacing w:after="0"/>
      </w:pPr>
    </w:p>
    <w:p>
      <w:pPr>
        <w:pStyle w:val="Heading1"/>
      </w:pPr>
      <w:r>
        <w:t>5. Scope and requirement priorities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2232"/>
        <w:gridCol w:w="893"/>
        <w:gridCol w:w="6336"/>
      </w:tblGrid>
      <w:tr>
        <w:trPr>
          <w:tblHeader w:val="true"/>
          <w:cantSplit/>
        </w:trPr>
        <w:tc>
          <w:tcPr>
            <w:tcW w:type="dxa" w:w="893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893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6336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Acceptance summary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PR-01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Frontend preservation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P0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Existing page layout, styling and interactions remain visually unchanged; API integration uses an adapter.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PR-02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Immutable data assets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P0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Original file hashes are unchanged after scanning/import; no importer writes into the source folder.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PR-03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Backend health/API baseline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P0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Health/readiness endpoint works; API schemas and errors are predictable.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PR-04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Source registry and ingestion report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P0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Every discovered file has detected format, source type, checksum and import status.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PR-05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Data quality gate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P0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Invalid, unsupported or mismatched data is quarantined/reported, never silently relabelled as futures prices.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PR-06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Contract master + canonical pairs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P0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Four target symbols and six unique canonical pairs; historical specification versions supported.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PR-07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Normalization and features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P0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Calculation inputs/outputs are explicit, tested and traceable to source rows/specification version.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PR-08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Novelty baseline service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P0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Pair-specific calibration and deterministic scoring are callable through API.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PR-09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Dashboard/contracts/comparison APIs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P1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Existing views can load data through API adapter without visual redesign.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PR-10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Signals/detail APIs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P1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Filtering and detail views reflect persisted or reproducibly computed signal data.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PR-11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Walk-forward backtest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P1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Chronological evaluation, cost assumptions and run metadata are stored.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PR-12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Scheduled ingestion/background jobs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P2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Imports and longer backtests run outside request path when required.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PR-13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Deployment and monitoring hardening</w:t>
            </w:r>
          </w:p>
        </w:tc>
        <w:tc>
          <w:tcPr>
            <w:tcW w:type="dxa" w:w="8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P2</w:t>
            </w:r>
          </w:p>
        </w:tc>
        <w:tc>
          <w:tcPr>
            <w:tcW w:type="dxa" w:w="6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Documented environment, migrations, logging and operational checks.</w:t>
            </w:r>
          </w:p>
        </w:tc>
      </w:tr>
    </w:tbl>
    <w:p>
      <w:pPr>
        <w:spacing w:after="0"/>
      </w:pPr>
    </w:p>
    <w:p>
      <w:pPr>
        <w:pStyle w:val="Heading1"/>
      </w:pPr>
      <w:r>
        <w:t>6. Data policy and current limitations</w:t>
      </w:r>
    </w:p>
    <w:p>
      <w:pPr>
        <w:pStyle w:val="Heading2"/>
      </w:pPr>
      <w:r>
        <w:t>6.1 Immutable source policy</w:t>
      </w:r>
    </w:p>
    <w:p>
      <w:pPr>
        <w:pStyle w:val="ListBullet"/>
        <w:spacing w:after="40"/>
      </w:pPr>
      <w:r>
        <w:t>The existing `GoldMcx_Data - Copy/` folder and separately added BhavCopy files are input assets only.</w:t>
      </w:r>
    </w:p>
    <w:p>
      <w:pPr>
        <w:pStyle w:val="ListBullet"/>
        <w:spacing w:after="40"/>
      </w:pPr>
      <w:r>
        <w:t>The backend may read and checksum the files, but may not rename, rewrite, re-save, reformat, delete or move them.</w:t>
      </w:r>
    </w:p>
    <w:p>
      <w:pPr>
        <w:pStyle w:val="ListBullet"/>
        <w:spacing w:after="40"/>
      </w:pPr>
      <w:r>
        <w:t>Parsed data, quarantine files, manifests, logs, cache files and exports must live under backend-owned directories or PostgreSQL.</w:t>
      </w:r>
    </w:p>
    <w:p>
      <w:pPr>
        <w:pStyle w:val="ListBullet"/>
        <w:spacing w:after="40"/>
      </w:pPr>
      <w:r>
        <w:t>Keep exact relative path, SHA-256 checksum, byte size, detected media format, discovered time, import run and parser version.</w:t>
      </w:r>
    </w:p>
    <w:p>
      <w:pPr>
        <w:pStyle w:val="Heading2"/>
      </w:pPr>
      <w:r>
        <w:t>6.2 Source classes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528"/>
        <w:gridCol w:w="4608"/>
      </w:tblGrid>
      <w:tr>
        <w:trPr>
          <w:tblHeader w:val="true"/>
          <w:cantSplit/>
        </w:trPr>
        <w:tc>
          <w:tcPr>
            <w:tcW w:type="dxa" w:w="223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528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4608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Futures Bhavcopy / FUTCOM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Potential primary source for expiry-specific OHLC, volume and OI.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Eligible only after schema and row-level validation.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Date-wise Detail report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Trade activity/lots and aggregate value.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Store in activity tables; do not treat aggregate value per lot as an official closing price.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Date-wise Summary report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Summary-level activity.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Separate source class; avoid double-counting with Detail reports.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OPTFUT / option rows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Options-related or option-on-futures data.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Do not admit to the four-futures price-series table by symbol name alone.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Contract-specification PDF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Reference for contract and expiry rules.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Register and extract for review; authoritative normalized fields require a verified versioned contract master.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Existing TypeScript demo data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Fallback / UI continuity.</w:t>
            </w:r>
          </w:p>
        </w:tc>
        <w:tc>
          <w:tcPr>
            <w:tcW w:type="dxa" w:w="460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Keep intact; label as illustrative and never merge silently with verified prices.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E6D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662023"/>
              </w:rPr>
              <w:t xml:space="preserve">Data-quality status  </w:t>
            </w:r>
            <w:r>
              <w:t>Every dataset/observation must carry provenance and a quality class: VERIFIED, PROVISIONAL, ILLUSTRATIVE or QUARANTINED. The application must not present a provisional or illustrative price as a verified MCX price.</w:t>
            </w:r>
          </w:p>
        </w:tc>
      </w:tr>
    </w:tbl>
    <w:p>
      <w:pPr>
        <w:pStyle w:val="Heading1"/>
      </w:pPr>
      <w:r>
        <w:t>7. Key user journeys</w:t>
      </w:r>
    </w:p>
    <w:p>
      <w:pPr>
        <w:pStyle w:val="Heading2"/>
      </w:pPr>
      <w:r>
        <w:t>7.1 Dashboard load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1. </w:t>
      </w:r>
      <w:r>
        <w:t>Frontend requests the dashboard summary and data status.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2. </w:t>
      </w:r>
      <w:r>
        <w:t>Backend returns contract cards, latest validated/eligible signals, source freshness and quality labels.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3. </w:t>
      </w:r>
      <w:r>
        <w:t>If the API is unavailable, the adapter may use local demo data only when fallback mode is explicitly enabled.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4. </w:t>
      </w:r>
      <w:r>
        <w:t>UI design and current components remain unchanged.</w:t>
      </w:r>
    </w:p>
    <w:p>
      <w:pPr>
        <w:pStyle w:val="Heading2"/>
      </w:pPr>
      <w:r>
        <w:t>7.2 Import and validate source files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1. </w:t>
      </w:r>
      <w:r>
        <w:t>Admin/developer configures the source folder via MCX_DATA_DIR; default expected location is the existing data folder beside the frontend.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2. </w:t>
      </w:r>
      <w:r>
        <w:t>Importer discovers files and computes checksums without modifying them.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3. </w:t>
      </w:r>
      <w:r>
        <w:t>Parser sniffs native XLS, HTML-table XLS, CSV and PDF by content/signature as well as extension.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4. </w:t>
      </w:r>
      <w:r>
        <w:t>Rows are staged, classified and validated; ambiguous/unsupported rows are quarantined with reasons.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5. </w:t>
      </w:r>
      <w:r>
        <w:t>Import report shows discovered/parsed/accepted/rejected counts and data-quality status.</w:t>
      </w:r>
    </w:p>
    <w:p>
      <w:pPr>
        <w:pStyle w:val="Heading2"/>
      </w:pPr>
      <w:r>
        <w:t>7.3 Compare contracts and score novelty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1. </w:t>
      </w:r>
      <w:r>
        <w:t>Frontend selects two canonical contract instruments and, where relevant, explicit expiry contracts.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2. </w:t>
      </w:r>
      <w:r>
        <w:t>Backend returns normalized series/spread with source and contract-specification version.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3. </w:t>
      </w:r>
      <w:r>
        <w:t>For the selected pair, backend calibrates only on the allowed historical training window.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4. </w:t>
      </w:r>
      <w:r>
        <w:t>A held-out/new observation is scored without using itself or future data in calibration.</w:t>
      </w:r>
    </w:p>
    <w:p>
      <w:pPr>
        <w:spacing w:after="40"/>
        <w:ind w:left="403" w:hanging="346"/>
      </w:pPr>
      <w:r>
        <w:rPr>
          <w:b/>
          <w:color w:val="662023"/>
        </w:rPr>
        <w:t xml:space="preserve">5. </w:t>
      </w:r>
      <w:r>
        <w:t>Response explains the score, threshold, calibration window, input quality, expiry and liquidity flags.</w:t>
      </w: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944"/>
        <w:gridCol w:w="7387"/>
      </w:tblGrid>
      <w:tr>
        <w:trPr>
          <w:tblHeader w:val="true"/>
          <w:cantSplit/>
        </w:trPr>
        <w:tc>
          <w:tcPr>
            <w:tcW w:type="dxa" w:w="1037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44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7387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Target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NFR-01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Performance</w:t>
            </w:r>
          </w:p>
        </w:tc>
        <w:tc>
          <w:tcPr>
            <w:tcW w:type="dxa" w:w="73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Simple list/detail requests should normally return within 500 ms for a local demo-size dataset; heavier backtests may take longer and report status.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NFR-02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Reliability</w:t>
            </w:r>
          </w:p>
        </w:tc>
        <w:tc>
          <w:tcPr>
            <w:tcW w:type="dxa" w:w="73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API exceptions become structured errors; frontend does not crash if backend is unavailable.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NFR-03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Reproducibility</w:t>
            </w:r>
          </w:p>
        </w:tc>
        <w:tc>
          <w:tcPr>
            <w:tcW w:type="dxa" w:w="73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Same dataset, configuration and algorithm version produce the same results.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NFR-04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Traceability</w:t>
            </w:r>
          </w:p>
        </w:tc>
        <w:tc>
          <w:tcPr>
            <w:tcW w:type="dxa" w:w="73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Each derived observation/signal can be traced to source file/row, spec version and algorithm version.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NFR-05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Safety</w:t>
            </w:r>
          </w:p>
        </w:tc>
        <w:tc>
          <w:tcPr>
            <w:tcW w:type="dxa" w:w="73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No credential or path-traversal exposure; ingestion only scans the configured root.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NFR-06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Maintainability</w:t>
            </w:r>
          </w:p>
        </w:tc>
        <w:tc>
          <w:tcPr>
            <w:tcW w:type="dxa" w:w="73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Modular backend; business logic independent of FastAPI handlers and database sessions.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NFR-07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Visual preservation</w:t>
            </w:r>
          </w:p>
        </w:tc>
        <w:tc>
          <w:tcPr>
            <w:tcW w:type="dxa" w:w="73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No changes to existing design tokens, CSS or page layout unless explicitly approved.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NFR-08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Data honesty</w:t>
            </w:r>
          </w:p>
        </w:tc>
        <w:tc>
          <w:tcPr>
            <w:tcW w:type="dxa" w:w="73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No live-feed, training, accuracy or profitability claims without corresponding evidence.</w:t>
            </w:r>
          </w:p>
        </w:tc>
      </w:tr>
    </w:tbl>
    <w:p>
      <w:pPr>
        <w:spacing w:after="0"/>
      </w:pPr>
    </w:p>
    <w:p>
      <w:pPr>
        <w:pStyle w:val="Heading1"/>
      </w:pPr>
      <w:r>
        <w:t>9. Release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464"/>
        <w:gridCol w:w="4320"/>
      </w:tblGrid>
      <w:tr>
        <w:trPr>
          <w:tblHeader w:val="true"/>
          <w:cantSplit/>
        </w:trPr>
        <w:tc>
          <w:tcPr>
            <w:tcW w:type="dxa" w:w="1584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4464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432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Exit gate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R0 — Audit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Inventory repo/source files, agree API DTOs, identify aliases and source-type rules.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No destructive edits; risk list approved.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R1 — Backend skeleton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FastAPI, config, logging, health/readiness, PostgreSQL and migrations.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Startup and DB smoke tests pass.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R2 — Data intake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Source manifest, parsers, staging, data quality report.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Source-file hashes unchanged; unusable rows are quarantined.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R3 — Core analytics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Contract master, normalization, pair features and statistical novelty endpoint.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Known-value formula tests pass.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R4 — UI integration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API adapter and dashboard/contracts/comparison/signals/model API integration.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Visual regression check and local fallback verified.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R5 — Validation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Walk-forward engine, cost assumptions, reports and monitoring.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Time leakage tests pass; results reproducible.</w:t>
            </w:r>
          </w:p>
        </w:tc>
      </w:tr>
    </w:tbl>
    <w:p>
      <w:pPr>
        <w:spacing w:after="0"/>
      </w:pPr>
    </w:p>
    <w:p>
      <w:pPr>
        <w:pStyle w:val="Heading1"/>
      </w:pPr>
      <w:r>
        <w:t>10.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5616"/>
      </w:tblGrid>
      <w:tr>
        <w:trPr>
          <w:tblHeader w:val="true"/>
          <w:cantSplit/>
        </w:trPr>
        <w:tc>
          <w:tcPr>
            <w:tcW w:type="dxa" w:w="2376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type="dxa" w:w="2376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5616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Mitigation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Wrong report type imported as futures price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False prices and misleading anomalies.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Sniff content and instrument type; quarantine options; gate on valid OHLC and expiry.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Summary/Detail double count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Inflated activity metrics.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Distinct source classes, row hashes and semantic de-duplication rules.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Incorrect or stale contract specification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Biased normalization.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Effective-dated contract master with source document, review status and formula tests.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Near-month series mixes expiries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Artificial spread jumps.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Key price rows by symbol + expiry_date + trade_date.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Legacy pair alias mismatch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Comparison/model page returns wrong or missing data.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Canonical backend pair IDs and adapter alias mapping; telemetry/log warnings.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Backtest leakage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Optimistic performance.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Chronological split, calibration cutoff enforcement and leakage tests.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Backend integration breaks frontend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Screens regress.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Feature flag, adapter boundary, existing local mode, screenshot/route smoke tests.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Original data files changed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Data provenance lost.</w:t>
            </w:r>
          </w:p>
        </w:tc>
        <w:tc>
          <w:tcPr>
            <w:tcW w:type="dxa" w:w="5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Read-only mount, checksums before/after import and tests asserting no source writes.</w:t>
            </w:r>
          </w:p>
        </w:tc>
      </w:tr>
    </w:tbl>
    <w:p>
      <w:pPr>
        <w:spacing w:after="0"/>
      </w:pPr>
    </w:p>
    <w:p>
      <w:pPr>
        <w:pStyle w:val="Heading1"/>
      </w:pPr>
      <w:r>
        <w:t>11. Definition of done</w:t>
      </w:r>
    </w:p>
    <w:p>
      <w:pPr>
        <w:pStyle w:val="ListBullet"/>
        <w:spacing w:after="40"/>
      </w:pPr>
      <w:r>
        <w:t>Existing frontend source/data files remain present; current pages still build and render.</w:t>
      </w:r>
    </w:p>
    <w:p>
      <w:pPr>
        <w:pStyle w:val="ListBullet"/>
        <w:spacing w:after="40"/>
      </w:pPr>
      <w:r>
        <w:t>Original data folder is read-only to the application, with no changed file hashes after ingestion.</w:t>
      </w:r>
    </w:p>
    <w:p>
      <w:pPr>
        <w:pStyle w:val="ListBullet"/>
        <w:spacing w:after="40"/>
      </w:pPr>
      <w:r>
        <w:t>Backend starts with documented commands and has health/readiness endpoints.</w:t>
      </w:r>
    </w:p>
    <w:p>
      <w:pPr>
        <w:pStyle w:val="ListBullet"/>
        <w:spacing w:after="40"/>
      </w:pPr>
      <w:r>
        <w:t>Ingestion report distinguishes parsed, accepted, rejected and unsupported inputs.</w:t>
      </w:r>
    </w:p>
    <w:p>
      <w:pPr>
        <w:pStyle w:val="ListBullet"/>
        <w:spacing w:after="40"/>
      </w:pPr>
      <w:r>
        <w:t>Core tables separate futures prices from activity reports and option rows.</w:t>
      </w:r>
    </w:p>
    <w:p>
      <w:pPr>
        <w:pStyle w:val="ListBullet"/>
        <w:spacing w:after="40"/>
      </w:pPr>
      <w:r>
        <w:t>All four symbols and six canonical pairs are handled without silent fallbacks to a different pair.</w:t>
      </w:r>
    </w:p>
    <w:p>
      <w:pPr>
        <w:pStyle w:val="ListBullet"/>
        <w:spacing w:after="40"/>
      </w:pPr>
      <w:r>
        <w:t>Normalization and anomaly scoring have automated unit tests.</w:t>
      </w:r>
    </w:p>
    <w:p>
      <w:pPr>
        <w:pStyle w:val="ListBullet"/>
        <w:spacing w:after="40"/>
      </w:pPr>
      <w:r>
        <w:t>Score response includes provenance, calibration period, scale fallback and algorithm version.</w:t>
      </w:r>
    </w:p>
    <w:p>
      <w:pPr>
        <w:pStyle w:val="ListBullet"/>
        <w:spacing w:after="40"/>
      </w:pPr>
      <w:r>
        <w:t>Frontend can run in local demo mode if backend is unavailable and can switch to API mode by configuration.</w:t>
      </w:r>
    </w:p>
    <w:p>
      <w:pPr>
        <w:pStyle w:val="ListBullet"/>
        <w:spacing w:after="40"/>
      </w:pPr>
      <w:r>
        <w:t>Build/test commands, environment variables, data limitations and known gaps are documented.</w:t>
      </w:r>
    </w:p>
    <w:p>
      <w:pPr>
        <w:pStyle w:val="Heading1"/>
      </w:pPr>
      <w:r>
        <w:t>Appendix A — Repository preservation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3B1117"/>
                <w:sz w:val="15"/>
              </w:rPr>
              <w:t>dhrupad-05-goldmcx/</w:t>
              <w:br/>
              <w:t>├── index.html                     # preserve</w:t>
              <w:br/>
              <w:t>├── package.json                   # preserve; only add scripts if approved</w:t>
              <w:br/>
              <w:t>├── src/                            # preserve UI/pages/components/styles</w:t>
              <w:br/>
              <w:t>│   ├── components/                 # no visual redesign</w:t>
              <w:br/>
              <w:t>│   ├── data/                       # keep local demo fallback intact</w:t>
              <w:br/>
              <w:t>│   ├── lib/                        # baseline logic retained during migration</w:t>
              <w:br/>
              <w:t>│   ├── pages/                      # minimal data-access changes only</w:t>
              <w:br/>
              <w:t>│   ├── services/                   # NEW: API client / adapters</w:t>
              <w:br/>
              <w:t>│   └── types/                      # preserve and extend only if required</w:t>
              <w:br/>
              <w:t>├── GoldMcx_Data - Copy/            # original source, read-only</w:t>
              <w:br/>
              <w:t>├── backend/                        # NEW: FastAPI application</w:t>
              <w:br/>
              <w:t>├── docker-compose.yml              # NEW, optional local orchestration</w:t>
              <w:br/>
              <w:t>└── .env.example                    # NEW; no real secrets</w:t>
            </w:r>
          </w:p>
        </w:tc>
      </w:tr>
    </w:tbl>
    <w:p>
      <w:pPr>
        <w:pStyle w:val="Heading1"/>
      </w:pPr>
      <w:r>
        <w:t>Appendix B — Reference</w:t>
      </w:r>
    </w:p>
    <w:p>
      <w:r>
        <w:rPr>
          <w:i w:val="0"/>
        </w:rPr>
        <w:t>Problem context: Hack in Hills ’26, PS-03 Commodity Derivatives Intelligence. Official MCX market-data entry point: https://www.mcxindia.com/market-data/bhavcopy. Contract specifications must be verified from the relevant official, effective-dated MCX specification before their values are relied upon.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6645B"/>
        <w:sz w:val="15"/>
      </w:rPr>
      <w:t xml:space="preserve">PRD v1.0  •  Internal engineering specification  •  </w:t>
    </w:r>
    <w:r>
      <w:rPr>
        <w:color w:val="76645B"/>
        <w:sz w:val="15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  <w:pBdr>
        <w:bottom w:val="single" w:sz="8" w:space="3" w:color="DCCBBE"/>
      </w:pBdr>
    </w:pPr>
    <w:r>
      <w:rPr>
        <w:rFonts w:ascii="Aptos" w:hAnsi="Aptos"/>
        <w:b/>
        <w:color w:val="662023"/>
        <w:sz w:val="15"/>
      </w:rPr>
      <w:t>MCX GOLD INTELLIGENCE  /  BACKEND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3322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6620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B11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66202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66202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80"/>
    </w:pPr>
    <w:rPr>
      <w:rFonts w:asciiTheme="majorHAnsi" w:eastAsiaTheme="majorEastAsia" w:hAnsiTheme="majorHAnsi" w:cstheme="majorBidi" w:ascii="Aptos" w:hAnsi="Aptos" w:eastAsia="Aptos"/>
      <w:b w:val="0"/>
      <w:i/>
      <w:iCs/>
      <w:color w:val="76645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