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b/>
          <w:color w:val="C99A53"/>
          <w:sz w:val="20"/>
        </w:rPr>
        <w:t>HACK IN HILLS ’26  |  PS-03</w:t>
      </w:r>
    </w:p>
    <w:p>
      <w:pPr>
        <w:pStyle w:val="Title"/>
        <w:spacing w:before="240"/>
      </w:pPr>
      <w:r>
        <w:t>Technical Requirements</w:t>
        <w:br/>
        <w:t>Document (TRD)</w:t>
      </w:r>
    </w:p>
    <w:p>
      <w:pPr>
        <w:pStyle w:val="Subtitle"/>
      </w:pPr>
      <w:r>
        <w:t>Architecture, schemas, ingestion, analytics, API contracts and migration rules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952"/>
      </w:tblGrid>
      <w:tr>
        <w:tc>
          <w:tcPr>
            <w:tcW w:type="dxa" w:w="10166"/>
            <w:shd w:fill="66202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31"/>
        <w:gridCol w:w="8136"/>
      </w:tblGrid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Version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1.0 — Backend integration baseline</w:t>
            </w:r>
          </w:p>
        </w:tc>
      </w:tr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Date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 October 2026</w:t>
            </w:r>
          </w:p>
        </w:tc>
      </w:tr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Status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Implementation-ready draft</w:t>
            </w:r>
          </w:p>
        </w:tc>
      </w:tr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Application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Existing React + TypeScript + Vite frontend</w:t>
            </w:r>
          </w:p>
        </w:tc>
      </w:tr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Backend target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FastAPI + PostgreSQL modular monolith</w:t>
            </w:r>
          </w:p>
        </w:tc>
      </w:tr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Data handling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Original frontend and source data files preserved</w:t>
            </w:r>
          </w:p>
        </w:tc>
      </w:tr>
      <w:tr>
        <w:tc>
          <w:tcPr>
            <w:tcW w:type="dxa" w:w="2131"/>
            <w:shd w:fill="F0E3D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2023"/>
                <w:sz w:val="17"/>
              </w:rPr>
              <w:t>Primary objective</w:t>
            </w:r>
          </w:p>
        </w:tc>
        <w:tc>
          <w:tcPr>
            <w:tcW w:type="dxa" w:w="8136"/>
            <w:shd w:fill="FFF9F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Add a reliable backend without redesigning the existing UI</w:t>
            </w:r>
          </w:p>
        </w:tc>
      </w:tr>
    </w:tbl>
    <w:p/>
    <w:p>
      <w:pPr>
        <w:spacing w:before="160"/>
      </w:pPr>
      <w:r>
        <w:rPr>
          <w:b/>
          <w:color w:val="662023"/>
          <w:sz w:val="18"/>
        </w:rPr>
        <w:t>PRESERVATION RULE</w:t>
      </w:r>
    </w:p>
    <w:p>
      <w:pPr>
        <w:ind w:left="115" w:right="115"/>
      </w:pPr>
      <w:r>
        <w:rPr>
          <w:sz w:val="18"/>
        </w:rPr>
        <w:t>The existing UI and original data files are protected assets. Add the backend beside the frontend, read source files without modifying them, and introduce only a small API adapter for data access. Keep local demo mode available until the backend is validated.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 w:val="true"/>
          <w:cantSplit/>
        </w:trPr>
        <w:tc>
          <w:tcPr>
            <w:tcW w:type="dxa" w:w="1944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8280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Purpose</w:t>
            </w:r>
          </w:p>
        </w:tc>
        <w:tc>
          <w:tcPr>
            <w:tcW w:type="dxa" w:w="82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Define an implementable backend architecture and integration contract for the existing frontend.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Architecture style</w:t>
            </w:r>
          </w:p>
        </w:tc>
        <w:tc>
          <w:tcPr>
            <w:tcW w:type="dxa" w:w="82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Modular monolith: FastAPI + PostgreSQL; separate source ingestion and analytics services.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Frontend contract</w:t>
            </w:r>
          </w:p>
        </w:tc>
        <w:tc>
          <w:tcPr>
            <w:tcW w:type="dxa" w:w="82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Existing React visual layer and local fallback are preserved; integration through a thin API adapter.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Data contract</w:t>
            </w:r>
          </w:p>
        </w:tc>
        <w:tc>
          <w:tcPr>
            <w:tcW w:type="dxa" w:w="82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Read-only source files; staged ingestion; typed normalized records; explicit provenance and quality state.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Analytics baseline</w:t>
            </w:r>
          </w:p>
        </w:tc>
        <w:tc>
          <w:tcPr>
            <w:tcW w:type="dxa" w:w="82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Pair-specific robust median/MAD novelty score first; advanced models only after validation.</w:t>
            </w:r>
          </w:p>
        </w:tc>
      </w:tr>
    </w:tbl>
    <w:p>
      <w:pPr>
        <w:spacing w:after="0"/>
      </w:pPr>
    </w:p>
    <w:p>
      <w:pPr>
        <w:pStyle w:val="Heading1"/>
      </w:pPr>
      <w:r>
        <w:t>1. System context and constraints</w:t>
      </w:r>
    </w:p>
    <w:p>
      <w:r>
        <w:rPr>
          <w:i w:val="0"/>
        </w:rPr>
        <w:t>The current application is React 18 + TypeScript + Vite. It uses local TypeScript modules and a browser-side statistical baseline. The backend should be added beside the existing frontend rather than reorganizing the frontend folder.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1596895"/>
            <wp:docPr id="1" name="Picture 1" title="Target backend architecture" descr="Architecture diagram showing the existing React and TypeScript frontend connected to a FastAPI REST API, modular ingestion and analytics services, PostgreSQL storage, and immutable read-only market-data files with separate data-quality report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596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6645B"/>
          <w:sz w:val="16"/>
        </w:rPr>
        <w:t>Figure 1. Target modular backend architecture.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E6D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662023"/>
              </w:rPr>
              <w:t xml:space="preserve">Preservation contract  </w:t>
            </w:r>
            <w:r>
              <w:t>Never edit the source-data files in place. Preserve `src/components`, `src/pages`, `src/styles`, existing `src/data` local fallbacks and the current color/design system. Frontend code edits are limited to a service adapter, API data mapping, configuration and error/loading wiring.</w:t>
            </w:r>
          </w:p>
        </w:tc>
      </w:tr>
    </w:tbl>
    <w:p>
      <w:pPr>
        <w:pStyle w:val="Heading1"/>
      </w:pPr>
      <w:r>
        <w:t>2. Proposed repository layout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3B1117"/>
                <w:sz w:val="15"/>
              </w:rPr>
              <w:t>dhrupad-05-goldmcx/</w:t>
              <w:br/>
              <w:t>├── index.html                         # unchanged</w:t>
              <w:br/>
              <w:t>├── package.json                       # preserve existing dependencies/scripts</w:t>
              <w:br/>
              <w:t>├── src/                               # existing frontend retained</w:t>
              <w:br/>
              <w:t>│   ├── components/                    # visual components unchanged</w:t>
              <w:br/>
              <w:t>│   ├── data/                          # local fallback data retained</w:t>
              <w:br/>
              <w:t>│   ├── lib/                           # current calculations retained during parity checks</w:t>
              <w:br/>
              <w:t>│   ├── pages/                         # minimal service-integration changes</w:t>
              <w:br/>
              <w:t>│   ├── services/                      # NEW: apiClient, contracts, signals, model, backtests</w:t>
              <w:br/>
              <w:t>│   └── types/                         # compatible DTO mapping</w:t>
              <w:br/>
              <w:t>├── GoldMcx_Data - Copy/               # existing source directory, read-only</w:t>
              <w:br/>
              <w:t>├── [additional BhavCopy files]        # original files preserved where provided</w:t>
              <w:br/>
              <w:t>├── backend/</w:t>
              <w:br/>
              <w:t>│   ├── pyproject.toml</w:t>
              <w:br/>
              <w:t>│   ├── .env.example</w:t>
              <w:br/>
              <w:t>│   ├── alembic.ini</w:t>
              <w:br/>
              <w:t>│   ├── app/</w:t>
              <w:br/>
              <w:t>│   │   ├── main.py</w:t>
              <w:br/>
              <w:t>│   │   ├── core/                      # settings, logging, errors</w:t>
              <w:br/>
              <w:t>│   │   ├── api/v1/routes/              # health, dashboard, contracts, signals...</w:t>
              <w:br/>
              <w:t>│   │   ├── schemas/                   # Pydantic request/response models</w:t>
              <w:br/>
              <w:t>│   │   ├── db/                        # SQLAlchemy session/models/migrations</w:t>
              <w:br/>
              <w:t>│   │   ├── repositories/              # database access</w:t>
              <w:br/>
              <w:t>│   │   ├── services/                  # ingest, clean, normalize, score, backtest</w:t>
              <w:br/>
              <w:t>│   │   └── adapters/                  # parsers by source format</w:t>
              <w:br/>
              <w:t>│   ├── tests/</w:t>
              <w:br/>
              <w:t>│   ├── scripts/import_sources.py</w:t>
              <w:br/>
              <w:t>│   └── storage/                       # backend-owned logs/quarantine/export only</w:t>
              <w:br/>
              <w:t>├── docker-compose.yml                 # optional development services</w:t>
              <w:br/>
              <w:t>└── .env.example                       # root-level frontend configuration if desired</w:t>
            </w:r>
          </w:p>
        </w:tc>
      </w:tr>
    </w:tbl>
    <w:p>
      <w:pPr>
        <w:pStyle w:val="Heading1"/>
      </w:pPr>
      <w:r>
        <w:t>3. Architecture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592"/>
        <w:gridCol w:w="5832"/>
      </w:tblGrid>
      <w:tr>
        <w:trPr>
          <w:tblHeader w:val="true"/>
          <w:cantSplit/>
        </w:trPr>
        <w:tc>
          <w:tcPr>
            <w:tcW w:type="dxa" w:w="1800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2592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Choice</w:t>
            </w:r>
          </w:p>
        </w:tc>
        <w:tc>
          <w:tcPr>
            <w:tcW w:type="dxa" w:w="5832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Reason / constraint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Backend style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FastAPI modular monolith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One deployable API, but separated services and modules; avoid microservice overhead.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Database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PostgreSQL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Structured time-series-ish data, foreign keys, uniqueness constraints, JSONB source payload/provenance.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Data frame work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Pandas + NumPy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Flexible parsing and calculations for report-like datasets and historical series.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Validation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Pydantic v2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Explicit API and configuration schemas.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Database access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SQLAlchemy 2 + Alembic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Typed ORM/migrations; auditable schema evolution.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Initial anomaly method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Robust median/MAD modified z-score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Matches the existing frontend baseline and is deterministic/easy to test.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Advanced ML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scikit-learn later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Isolation Forest/other models only after correct data and temporal evaluation are established.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Frontend integration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REST adapter with LOCAL/API mode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Retains the existing screens and provides safe incremental migration.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Background work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CLI/scheduler first; queue later if necessary</w:t>
            </w:r>
          </w:p>
        </w:tc>
        <w:tc>
          <w:tcPr>
            <w:tcW w:type="dxa" w:w="5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Daily imports are initially small; do not introduce Redis/Celery without need.</w:t>
            </w:r>
          </w:p>
        </w:tc>
      </w:tr>
    </w:tbl>
    <w:p>
      <w:pPr>
        <w:spacing w:after="0"/>
      </w:pPr>
    </w:p>
    <w:p>
      <w:pPr>
        <w:pStyle w:val="Heading1"/>
      </w:pPr>
      <w:r>
        <w:t>4. Configuration and runtime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592"/>
        <w:gridCol w:w="5400"/>
      </w:tblGrid>
      <w:tr>
        <w:trPr>
          <w:tblHeader w:val="true"/>
          <w:cantSplit/>
        </w:trPr>
        <w:tc>
          <w:tcPr>
            <w:tcW w:type="dxa" w:w="2232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Variable</w:t>
            </w:r>
          </w:p>
        </w:tc>
        <w:tc>
          <w:tcPr>
            <w:tcW w:type="dxa" w:w="2592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5400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Example / rule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APP_ENV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Runtime profile</w:t>
            </w:r>
          </w:p>
        </w:tc>
        <w:tc>
          <w:tcPr>
            <w:tcW w:type="dxa" w:w="54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development / test / production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API_PREFIX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Versioned API prefix</w:t>
            </w:r>
          </w:p>
        </w:tc>
        <w:tc>
          <w:tcPr>
            <w:tcW w:type="dxa" w:w="54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/api/v1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DATABASE_URL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PostgreSQL connection</w:t>
            </w:r>
          </w:p>
        </w:tc>
        <w:tc>
          <w:tcPr>
            <w:tcW w:type="dxa" w:w="54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postgresql+psycopg://...; secret lives only in backend env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CORS_ORIGINS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Allowed frontend origins</w:t>
            </w:r>
          </w:p>
        </w:tc>
        <w:tc>
          <w:tcPr>
            <w:tcW w:type="dxa" w:w="54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Explicit list; do not use wildcard with credentials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MCX_DATA_DIR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Root directory to scan</w:t>
            </w:r>
          </w:p>
        </w:tc>
        <w:tc>
          <w:tcPr>
            <w:tcW w:type="dxa" w:w="54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Absolute path to the existing source folder; configurable, not hardcoded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MCX_EXTRA_FILES_DIR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Optional standalone imports</w:t>
            </w:r>
          </w:p>
        </w:tc>
        <w:tc>
          <w:tcPr>
            <w:tcW w:type="dxa" w:w="54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Separate read-only folder for extra BhavCopy samples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DATA_WRITE_MODE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Source mutation guard</w:t>
            </w:r>
          </w:p>
        </w:tc>
        <w:tc>
          <w:tcPr>
            <w:tcW w:type="dxa" w:w="54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Fixed to read_only for source roots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DEMO_FALLBACK_ENABLED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Whether UI may use local demo datasets when API fails</w:t>
            </w:r>
          </w:p>
        </w:tc>
        <w:tc>
          <w:tcPr>
            <w:tcW w:type="dxa" w:w="54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true in development; carefully controlled elsewhere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LOG_LEVEL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Application logging</w:t>
            </w:r>
          </w:p>
        </w:tc>
        <w:tc>
          <w:tcPr>
            <w:tcW w:type="dxa" w:w="54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INFO by default; avoid logging secrets/full sensitive payloads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IMPORT_MAX_FILE_MB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Upload/import size cap</w:t>
            </w:r>
          </w:p>
        </w:tc>
        <w:tc>
          <w:tcPr>
            <w:tcW w:type="dxa" w:w="54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Configurable safety limit</w:t>
            </w:r>
          </w:p>
        </w:tc>
      </w:tr>
    </w:tbl>
    <w:p>
      <w:pPr>
        <w:spacing w:after="0"/>
      </w:pPr>
    </w:p>
    <w:p>
      <w:pPr>
        <w:pStyle w:val="Heading1"/>
      </w:pPr>
      <w:r>
        <w:t>5. Source discovery and ingestion</w:t>
      </w:r>
    </w:p>
    <w:p>
      <w:pPr>
        <w:pStyle w:val="Heading2"/>
      </w:pPr>
      <w:r>
        <w:t>5.1 Supported content detection</w:t>
      </w:r>
    </w:p>
    <w:p>
      <w:r>
        <w:rPr>
          <w:i w:val="0"/>
        </w:rPr>
        <w:t>Do not select a parser using only a .xls/.xlsx extension. Sniff the content signature and parse strategy, because legacy `.xls` downloads may actually be HTML tables. Keep parser choice and detected media type in the source manifest.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16"/>
        <w:gridCol w:w="4176"/>
      </w:tblGrid>
      <w:tr>
        <w:trPr>
          <w:tblHeader w:val="true"/>
          <w:cantSplit/>
        </w:trPr>
        <w:tc>
          <w:tcPr>
            <w:tcW w:type="dxa" w:w="2232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Detected source format</w:t>
            </w:r>
          </w:p>
        </w:tc>
        <w:tc>
          <w:tcPr>
            <w:tcW w:type="dxa" w:w="3816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Parser strategy</w:t>
            </w:r>
          </w:p>
        </w:tc>
        <w:tc>
          <w:tcPr>
            <w:tcW w:type="dxa" w:w="4176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HTML table saved as .xls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Read small byte prefix; parse with pandas.read_html or a controlled HTML parser.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Store parser type; validate column names and row counts.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Native legacy XLS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Use xlrd-compatible parser where available.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Check sheet names, types and headers; preserve original bytes.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XLSX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Use openpyxl/pandas where appropriate.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Validate worksheet/schema.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CSV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Use pandas/read_csv with encoding/delimiter detection and explicit date parsing.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Report ambiguous formats instead of guessing silently.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PDF contract documents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Register/hash; optional text extraction for suggestions.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Human-reviewed contract master is authoritative; original PDF remains unchanged.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Unsupported/unknown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Do not try unsafe coercion.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Quarantine with reason and provide a data-quality report.</w:t>
            </w:r>
          </w:p>
        </w:tc>
      </w:tr>
    </w:tbl>
    <w:p>
      <w:pPr>
        <w:spacing w:after="0"/>
      </w:pPr>
    </w:p>
    <w:p>
      <w:pPr>
        <w:pStyle w:val="Heading2"/>
      </w:pPr>
      <w:r>
        <w:t>5.2 Source categories</w:t>
      </w:r>
    </w:p>
    <w:p>
      <w:pPr>
        <w:pStyle w:val="ListBullet"/>
        <w:spacing w:after="40"/>
      </w:pPr>
      <w:r>
        <w:t>Futures price source: rows explicitly classified as futures (e.g., FUTCOM) with a recognized target symbol, trade date, actual expiry and valid price fields.</w:t>
      </w:r>
    </w:p>
    <w:p>
      <w:pPr>
        <w:pStyle w:val="ListBullet"/>
        <w:spacing w:after="40"/>
      </w:pPr>
      <w:r>
        <w:t>Activity report: detail/summary reports containing traded lots and aggregate total value. Store separately from price bars; aggregate value divided by lots may be an activity-derived proxy, not an official settlement price.</w:t>
      </w:r>
    </w:p>
    <w:p>
      <w:pPr>
        <w:pStyle w:val="ListBullet"/>
        <w:spacing w:after="40"/>
      </w:pPr>
      <w:r>
        <w:t>Options/OPTFUT source: classify separately. Do not join into target futures series solely because the underlying symbol says GOLD.</w:t>
      </w:r>
    </w:p>
    <w:p>
      <w:pPr>
        <w:pStyle w:val="ListBullet"/>
        <w:spacing w:after="40"/>
      </w:pPr>
      <w:r>
        <w:t>Contract specification: store references and verified effective-dated metadata, including source document and reviewer/status.</w:t>
      </w:r>
    </w:p>
    <w:p>
      <w:pPr>
        <w:pStyle w:val="ListBullet"/>
        <w:spacing w:after="40"/>
      </w:pPr>
      <w:r>
        <w:t>Illustrative TypeScript data: stays in frontend fallback and is never ingested into verified market tables as genuine market data.</w:t>
      </w:r>
    </w:p>
    <w:p>
      <w:pPr>
        <w:pStyle w:val="Heading2"/>
      </w:pPr>
      <w:r>
        <w:t>5.3 Ingestion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3B1117"/>
                <w:sz w:val="15"/>
              </w:rPr>
              <w:t>Configured read-only source root</w:t>
              <w:br/>
              <w:t xml:space="preserve">        ↓</w:t>
              <w:br/>
              <w:t>Discover file + SHA-256 + byte size</w:t>
              <w:br/>
              <w:t xml:space="preserve">        ↓</w:t>
              <w:br/>
              <w:t>Sniff content / select parser</w:t>
              <w:br/>
              <w:t xml:space="preserve">        ↓</w:t>
              <w:br/>
              <w:t>Parse to source-specific raw rows</w:t>
              <w:br/>
              <w:t xml:space="preserve">        ↓</w:t>
              <w:br/>
              <w:t>Classify: futures / activity / options / specs / unknown</w:t>
              <w:br/>
              <w:t xml:space="preserve">        ↓</w:t>
              <w:br/>
              <w:t>Validate schema, dates, symbol, expiry, prices and activity</w:t>
              <w:br/>
              <w:t xml:space="preserve">        ↓</w:t>
              <w:br/>
              <w:t>Accepted rows ───────── Rejected/ambiguous rows</w:t>
              <w:br/>
              <w:t xml:space="preserve">      ↓                           ↓</w:t>
              <w:br/>
              <w:t>Staging + quality tag         Quarantine/report only</w:t>
              <w:br/>
              <w:t xml:space="preserve">      ↓</w:t>
              <w:br/>
              <w:t>Normalized tables + lineage</w:t>
              <w:br/>
              <w:t xml:space="preserve">      ↓</w:t>
              <w:br/>
              <w:t>Features / novelty / API</w:t>
            </w:r>
          </w:p>
        </w:tc>
      </w:tr>
    </w:tbl>
    <w:p>
      <w:pPr>
        <w:pStyle w:val="Heading2"/>
      </w:pPr>
      <w:r>
        <w:t>5.4 Import safety</w:t>
      </w:r>
    </w:p>
    <w:p>
      <w:pPr>
        <w:pStyle w:val="ListBullet"/>
        <w:spacing w:after="40"/>
      </w:pPr>
      <w:r>
        <w:t>Source roots are opened read-only; importer cannot output generated files to the source root.</w:t>
      </w:r>
    </w:p>
    <w:p>
      <w:pPr>
        <w:pStyle w:val="ListBullet"/>
        <w:spacing w:after="40"/>
      </w:pPr>
      <w:r>
        <w:t>At the start of import, compute a manifest with SHA-256 hashes. In tests, verify original hashes are unchanged after scan/import.</w:t>
      </w:r>
    </w:p>
    <w:p>
      <w:pPr>
        <w:pStyle w:val="ListBullet"/>
        <w:spacing w:after="40"/>
      </w:pPr>
      <w:r>
        <w:t>Use a database transaction for each file or bounded batch. Failed files should not leave partial normalized rows.</w:t>
      </w:r>
    </w:p>
    <w:p>
      <w:pPr>
        <w:pStyle w:val="ListBullet"/>
        <w:spacing w:after="40"/>
      </w:pPr>
      <w:r>
        <w:t>Make imports idempotent using source hash + row hash + natural keys; reimport should update status, not duplicate the same source row.</w:t>
      </w:r>
    </w:p>
    <w:p>
      <w:pPr>
        <w:pStyle w:val="ListBullet"/>
        <w:spacing w:after="40"/>
      </w:pPr>
      <w:r>
        <w:t>Use row-level reasons for quarantine; e.g. unsupported instrument, missing date, missing expiry, OHLC absent, invalid OHLC order, all-zero activity, unknown symbol, ambiguous quote basis.</w:t>
      </w:r>
    </w:p>
    <w:p>
      <w:pPr>
        <w:pStyle w:val="ListBullet"/>
        <w:spacing w:after="40"/>
      </w:pPr>
      <w:r>
        <w:t>Never fabricate missing OHLC values from totals or fill absent observations by forward/backward filling without an explicit analytical rule.</w:t>
      </w:r>
    </w:p>
    <w:p>
      <w:pPr>
        <w:pStyle w:val="Heading1"/>
      </w:pPr>
      <w:r>
        <w:t>6. Data validation and quality states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4176"/>
      </w:tblGrid>
      <w:tr>
        <w:trPr>
          <w:tblHeader w:val="true"/>
          <w:cantSplit/>
        </w:trPr>
        <w:tc>
          <w:tcPr>
            <w:tcW w:type="dxa" w:w="1728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type="dxa" w:w="4320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4176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Permitted use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VERIFIED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Schema and semantic checks pass, and source is suitable for the intended calculation.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Eligible for normalized series/features subject to contract mapping.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PROVISIONAL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Parsed but some source/semantics assumptions remain unconfirmed.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Exploration only; visibly labelled and excluded from validated performance claims by default.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ILLUSTRATIVE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Frontend demo/fabricated example data.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UI demonstration only; never reported as actual market evidence.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QUARANTINED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Unsupported, ambiguous, malformed or unsuitable for requested analysis.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Data-quality view only; excluded from analytical outputs.</w:t>
            </w:r>
          </w:p>
        </w:tc>
      </w:tr>
    </w:tbl>
    <w:p>
      <w:pPr>
        <w:spacing w:after="0"/>
      </w:pPr>
    </w:p>
    <w:p>
      <w:r>
        <w:rPr>
          <w:i w:val="0"/>
        </w:rPr>
        <w:t>The first imported BhavCopy examples must be assessed rather than assumed valid. If a sample contains option rows, missing OHLC values, or no useful activity, the importer records the file and explains why it is not eligible for the target futures-price service. Other valid source files may still be imported independently.</w:t>
      </w:r>
    </w:p>
    <w:p>
      <w:pPr>
        <w:pStyle w:val="Heading1"/>
      </w:pPr>
      <w:r>
        <w:t>7. Canonical contract and pair model</w:t>
      </w:r>
    </w:p>
    <w:p>
      <w:pPr>
        <w:pStyle w:val="Heading2"/>
      </w:pPr>
      <w:r>
        <w:t>7.1 Canonical identities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5472"/>
      </w:tblGrid>
      <w:tr>
        <w:trPr>
          <w:tblHeader w:val="true"/>
          <w:cantSplit/>
        </w:trPr>
        <w:tc>
          <w:tcPr>
            <w:tcW w:type="dxa" w:w="2592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Canonical contract ID</w:t>
            </w:r>
          </w:p>
        </w:tc>
        <w:tc>
          <w:tcPr>
            <w:tcW w:type="dxa" w:w="2160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Display symbol</w:t>
            </w:r>
          </w:p>
        </w:tc>
        <w:tc>
          <w:tcPr>
            <w:tcW w:type="dxa" w:w="5472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Important metadata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GOLDM</w:t>
            </w:r>
          </w:p>
        </w:tc>
        <w:tc>
          <w:tcPr>
            <w:tcW w:type="dxa" w:w="21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GOLDM</w:t>
            </w:r>
          </w:p>
        </w:tc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Trading unit, quote basis, purity, effective-dated expiry specification.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GOLDTEN</w:t>
            </w:r>
          </w:p>
        </w:tc>
        <w:tc>
          <w:tcPr>
            <w:tcW w:type="dxa" w:w="21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GOLDTEN</w:t>
            </w:r>
          </w:p>
        </w:tc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Use only from verified listing history; short history must be explicit.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GOLDGUINEA</w:t>
            </w:r>
          </w:p>
        </w:tc>
        <w:tc>
          <w:tcPr>
            <w:tcW w:type="dxa" w:w="21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GOLDGUINEA</w:t>
            </w:r>
          </w:p>
        </w:tc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Check the relevant quote/conversion rule from official specification; avoid unsupported adjustments.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GOLDPETAL</w:t>
            </w:r>
          </w:p>
        </w:tc>
        <w:tc>
          <w:tcPr>
            <w:tcW w:type="dxa" w:w="21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GOLDPETAL</w:t>
            </w:r>
          </w:p>
        </w:tc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5"/>
              </w:rPr>
              <w:t>Small-unit contract; activity/liquidity limitations must be visible.</w:t>
            </w:r>
          </w:p>
        </w:tc>
      </w:tr>
    </w:tbl>
    <w:p>
      <w:pPr>
        <w:spacing w:after="0"/>
      </w:pPr>
    </w:p>
    <w:p>
      <w:pPr>
        <w:pStyle w:val="Heading2"/>
      </w:pPr>
      <w:r>
        <w:t>7.2 Pair identifiers and frontend compatibility</w:t>
      </w:r>
    </w:p>
    <w:p>
      <w:r>
        <w:rPr>
          <w:i w:val="0"/>
        </w:rPr>
        <w:t>Backend canonical pairs are fixed, stable identifiers: GOLDM-GOLDTEN, GOLDM-GOLDGUINEA, GOLDM-GOLDPETAL, GOLDTEN-GOLDGUINEA, GOLDTEN-GOLDPETAL, GOLDGUINEA-GOLDPETAL. The current frontend has a legacy typo `REST-GOLDPETAL` for the last pair. Preserve the frontend source initially and translate that alias at the API adapter boundary; do not store the typo as canonical backend identity.</w:t>
      </w:r>
    </w:p>
    <w:p>
      <w:pPr>
        <w:pStyle w:val="Heading2"/>
      </w:pPr>
      <w:r>
        <w:t>7.3 Specification versioning</w:t>
      </w:r>
    </w:p>
    <w:p>
      <w:r>
        <w:rPr>
          <w:i w:val="0"/>
        </w:rPr>
        <w:t>Contract metadata must be effective-dated: `valid_from`, `valid_to`, `source_document_id`, `verification_status`, `trading_unit_grams`, `quote_grams`, `purity_per_mille`, and a `quote_rule`/`fine_grams_per_quote` rule as approved. The normalization service must use the specification valid on the observation date, not automatically apply current metadata to all history.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0D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B87928"/>
              </w:rPr>
              <w:t xml:space="preserve">Normalization rule  </w:t>
            </w:r>
            <w:r>
              <w:t>Use a common comparable price only after verifying how the official contract price is quoted. For standard contracts where the quote price applies to a known gross quoted quantity, price per fine gram can be calculated as quote price divided by quote grams × purity fraction. If a contract has a special quotation/premium rule, encode that rule explicitly and test it; never assume a generic formula fits every contract.</w:t>
            </w:r>
          </w:p>
        </w:tc>
      </w:tr>
    </w:tbl>
    <w:p>
      <w:pPr>
        <w:pStyle w:val="Heading1"/>
      </w:pPr>
      <w:r>
        <w:t>8. Core analytics and novelty detection</w:t>
      </w:r>
    </w:p>
    <w:p>
      <w:pPr>
        <w:pStyle w:val="Heading2"/>
      </w:pPr>
      <w:r>
        <w:t>8.1 Feature pipeline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4464"/>
      </w:tblGrid>
      <w:tr>
        <w:trPr>
          <w:tblHeader w:val="true"/>
          <w:cantSplit/>
        </w:trPr>
        <w:tc>
          <w:tcPr>
            <w:tcW w:type="dxa" w:w="1800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Feature group</w:t>
            </w:r>
          </w:p>
        </w:tc>
        <w:tc>
          <w:tcPr>
            <w:tcW w:type="dxa" w:w="3816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Initial features</w:t>
            </w:r>
          </w:p>
        </w:tc>
        <w:tc>
          <w:tcPr>
            <w:tcW w:type="dxa" w:w="4464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Rules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Price relationship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Normalized value, pair spread %, price ratio, return difference.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Compute from compatible instrument/expiry/date mappings.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Robust statistics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Rolling median, MAD, robust modified z-score, IQR fallback.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Window only uses observations available by score timestamp.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Activity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Volume/lots, OI, pair ratios where records are comparable.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Aggregate activity reports are not market depth.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Expiry lifecycle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Days to expiry, expiry window, contract age.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Use actual contract expiry; do not splice near-month contracts silently.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Regime/context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Gold return, rolling volatility, regime label if justified.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Do not remove crisis data mechanically; account for common movement/regime.</w:t>
            </w:r>
          </w:p>
        </w:tc>
      </w:tr>
    </w:tbl>
    <w:p>
      <w:pPr>
        <w:spacing w:after="0"/>
      </w:pPr>
    </w:p>
    <w:p>
      <w:pPr>
        <w:pStyle w:val="Heading2"/>
      </w:pPr>
      <w:r>
        <w:t>8.2 Statistical baseline parity</w:t>
      </w:r>
    </w:p>
    <w:p>
      <w:r>
        <w:rPr>
          <w:i w:val="0"/>
        </w:rPr>
        <w:t>First backend release should reproduce the existing `src/lib/anomalyScore.ts` behaviour so frontend and backend results can be compared. The existing implementation uses median, MAD, modified z = 0.6745 × (x − median) / scale, absolute threshold 3.5, score min(|z|/6, 1), an IQR/1.349 fallback when MAD is approximately zero, and a small scale floor as the final fallback. Preserve and test these rules before making improvements.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3B1117"/>
                <w:sz w:val="15"/>
              </w:rPr>
              <w:t>median = median(training_spreads)</w:t>
              <w:br/>
              <w:t>MAD = median(abs(x - median) for x in training_spreads)</w:t>
              <w:br/>
              <w:t>scale = MAD if MAD &gt; epsilon else IQR / 1.349</w:t>
              <w:br/>
              <w:t>scale = scale if scale &gt; epsilon else configured_floor</w:t>
              <w:br/>
              <w:t>robust_z = 0.6745 * (new_spread - median) / scale</w:t>
              <w:br/>
              <w:t>score = min(abs(robust_z) / 6, 1)</w:t>
              <w:br/>
              <w:t>is_anomaly = abs(robust_z) &gt;= 3.5</w:t>
            </w:r>
          </w:p>
        </w:tc>
      </w:tr>
    </w:tbl>
    <w:p>
      <w:pPr>
        <w:pStyle w:val="Heading2"/>
      </w:pPr>
      <w:r>
        <w:t>8.3 Training/score contract</w:t>
      </w:r>
    </w:p>
    <w:p>
      <w:pPr>
        <w:pStyle w:val="ListBullet"/>
        <w:spacing w:after="40"/>
      </w:pPr>
      <w:r>
        <w:t>Calibration is specific to canonical contract pair and a declared feature/configuration version.</w:t>
      </w:r>
    </w:p>
    <w:p>
      <w:pPr>
        <w:pStyle w:val="ListBullet"/>
        <w:spacing w:after="40"/>
      </w:pPr>
      <w:r>
        <w:t>Calibration training window is explicit (start/end dates and cutoff timestamp); score-time observation and future observations are excluded.</w:t>
      </w:r>
    </w:p>
    <w:p>
      <w:pPr>
        <w:pStyle w:val="ListBullet"/>
        <w:spacing w:after="40"/>
      </w:pPr>
      <w:r>
        <w:t>Only observations marked eligible by data-quality and expiry/contract mapping rules can enter the training sample.</w:t>
      </w:r>
    </w:p>
    <w:p>
      <w:pPr>
        <w:pStyle w:val="ListBullet"/>
        <w:spacing w:after="40"/>
      </w:pPr>
      <w:r>
        <w:t>Mostly-normal training observations are expected, not guaranteed. Record training row IDs, quality filtering, count, median, scale, fallback type, threshold and algorithm version.</w:t>
      </w:r>
    </w:p>
    <w:p>
      <w:pPr>
        <w:pStyle w:val="ListBullet"/>
        <w:spacing w:after="40"/>
      </w:pPr>
      <w:r>
        <w:t>The baseline scores primarily one relative-spread feature; do not describe it as a multivariate Isolation Forest unless a different model is genuinely implemented.</w:t>
      </w:r>
    </w:p>
    <w:p>
      <w:pPr>
        <w:pStyle w:val="ListBullet"/>
        <w:spacing w:after="40"/>
      </w:pPr>
      <w:r>
        <w:t>Anomaly score is not a calibrated probability, not proof of mispricing, and not evidence of profitability.</w:t>
      </w:r>
    </w:p>
    <w:p>
      <w:pPr>
        <w:pStyle w:val="ListBullet"/>
        <w:spacing w:after="40"/>
      </w:pPr>
      <w:r>
        <w:t>Add Isolation Forest only as a separate model version after baseline tests, sufficient clean examples, and chronological evaluation exist.</w:t>
      </w:r>
    </w:p>
    <w:p>
      <w:pPr>
        <w:pStyle w:val="Heading2"/>
      </w:pPr>
      <w:r>
        <w:t>8.4 Explainable result DTO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3B1117"/>
                <w:sz w:val="15"/>
              </w:rPr>
              <w:t>{</w:t>
              <w:br/>
              <w:t xml:space="preserve">  "pair_id":"GOLDM-GOLDPETAL", "observation_date":"YYYY-MM-DD", "data_status":"PROVISIONAL",</w:t>
              <w:br/>
              <w:t xml:space="preserve">  "algorithm":"robust_mad_v1", "feature":"normalized_spread_pct",</w:t>
              <w:br/>
              <w:t xml:space="preserve">  "calibration":{"n":100,"window_start":"...","window_end":"..."},</w:t>
              <w:br/>
              <w:t xml:space="preserve">  "observed_value":0.0, "training_median":0.0, "scale_value":0.0, "scale_method":"mad|iqr|floor",</w:t>
              <w:br/>
              <w:t xml:space="preserve">  "robust_z":0.0, "anomaly_score":0.0, "is_anomaly":false, "severity":"Normal|Watch|High",</w:t>
              <w:br/>
              <w:t xml:space="preserve">  "explanation":"...", "warnings":[]</w:t>
              <w:br/>
              <w:t>}</w:t>
            </w:r>
          </w:p>
        </w:tc>
      </w:tr>
    </w:tbl>
    <w:p>
      <w:pPr>
        <w:pStyle w:val="Heading1"/>
      </w:pPr>
      <w:r>
        <w:t>9. Database schema</w:t>
      </w:r>
    </w:p>
    <w:p>
      <w:r>
        <w:rPr>
          <w:i w:val="0"/>
        </w:rPr>
        <w:t>Use SQLAlchemy models and Alembic migrations. Prefer normalized relational tables for core keys and query paths, with JSONB payloads for source-specific raw columns that differ between report families.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040"/>
        <w:gridCol w:w="2952"/>
      </w:tblGrid>
      <w:tr>
        <w:trPr>
          <w:tblHeader w:val="true"/>
          <w:cantSplit/>
        </w:trPr>
        <w:tc>
          <w:tcPr>
            <w:tcW w:type="dxa" w:w="2088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Table</w:t>
            </w:r>
          </w:p>
        </w:tc>
        <w:tc>
          <w:tcPr>
            <w:tcW w:type="dxa" w:w="5040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Important fields / constraints</w:t>
            </w:r>
          </w:p>
        </w:tc>
        <w:tc>
          <w:tcPr>
            <w:tcW w:type="dxa" w:w="2952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source_files</w:t>
            </w:r>
          </w:p>
        </w:tc>
        <w:tc>
          <w:tcPr>
            <w:tcW w:type="dxa" w:w="50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id, relative_path, sha256, size_bytes, detected_format, source_class, first_seen_at, parse_status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File manifest and provenance; unique hash/path policy.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ingestion_runs</w:t>
            </w:r>
          </w:p>
        </w:tc>
        <w:tc>
          <w:tcPr>
            <w:tcW w:type="dxa" w:w="50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id, started_at, completed_at, parser_version, counts JSONB, overall_status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Audit each import/scan attempt.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raw_source_rows</w:t>
            </w:r>
          </w:p>
        </w:tc>
        <w:tc>
          <w:tcPr>
            <w:tcW w:type="dxa" w:w="50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id, source_file_id, row_number, row_hash, raw_payload JSONB, validation_status, errors JSONB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Immutable parsed staging records with source-row traceability.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contract_specs</w:t>
            </w:r>
          </w:p>
        </w:tc>
        <w:tc>
          <w:tcPr>
            <w:tcW w:type="dxa" w:w="50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id, symbol, valid_from, valid_to, units, quote rule, purity, source_document_id, verification_status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Versioned contract specification master.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futures_bars</w:t>
            </w:r>
          </w:p>
        </w:tc>
        <w:tc>
          <w:tcPr>
            <w:tcW w:type="dxa" w:w="50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id, symbol, expiry_date, trade_date, OHLC, volume_lots, open_interest, source_row_id, data_status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Eligible expiry-specific daily futures data; unique (symbol, expiry, date, source priority).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activity_daily</w:t>
            </w:r>
          </w:p>
        </w:tc>
        <w:tc>
          <w:tcPr>
            <w:tcW w:type="dxa" w:w="50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id, symbol, trade_date, lots, total_value_lakhs, report_type, source_row_id, data_status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Activity reports separate from OHLC bars.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normalized_prices</w:t>
            </w:r>
          </w:p>
        </w:tc>
        <w:tc>
          <w:tcPr>
            <w:tcW w:type="dxa" w:w="50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id, symbol, expiry_date, trade_date, normalized_value, spec_version_id, source_status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Derived comparable values; reproducible from source/spec version.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pair_features</w:t>
            </w:r>
          </w:p>
        </w:tc>
        <w:tc>
          <w:tcPr>
            <w:tcW w:type="dxa" w:w="50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id, canonical_pair_id, expiry_left, expiry_right, trade_date, spread_pct, ratios/features, feature_version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Pairwise features keyed by pair, expiry identities and date.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model_calibrations</w:t>
            </w:r>
          </w:p>
        </w:tc>
        <w:tc>
          <w:tcPr>
            <w:tcW w:type="dxa" w:w="50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id, pair_id, algorithm_version, feature_version, train_start/end, cutoff_ts, n, median, scale, scale_method, threshold, config JSONB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Reproducible calibration metadata.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anomaly_scores</w:t>
            </w:r>
          </w:p>
        </w:tc>
        <w:tc>
          <w:tcPr>
            <w:tcW w:type="dxa" w:w="50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id, calibration_id, pair_feature_id/observation, robust_z, score, is_anomaly, severity, explanation, warnings JSONB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Stored scored observations and explanations.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signals</w:t>
            </w:r>
          </w:p>
        </w:tc>
        <w:tc>
          <w:tcPr>
            <w:tcW w:type="dxa" w:w="50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id, score_id, status, liquidity_status, expiry_status, cost_status, disposition, created_at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Separate anomaly detection from post-detection disposition.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backtest_runs</w:t>
            </w:r>
          </w:p>
        </w:tc>
        <w:tc>
          <w:tcPr>
            <w:tcW w:type="dxa" w:w="50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id, strategy_version, data_snapshot, start/end, costs JSONB, config JSONB, status, code_version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Reproducible backtest runs.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backtest_metrics</w:t>
            </w:r>
          </w:p>
        </w:tc>
        <w:tc>
          <w:tcPr>
            <w:tcW w:type="dxa" w:w="50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run_id, metric_name, metric_value, units, details JSONB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Metrics with explicit units and definitions.</w:t>
            </w:r>
          </w:p>
        </w:tc>
      </w:tr>
    </w:tbl>
    <w:p>
      <w:pPr>
        <w:spacing w:after="0"/>
      </w:pPr>
    </w:p>
    <w:p>
      <w:pPr>
        <w:pStyle w:val="Heading1"/>
      </w:pPr>
      <w:r>
        <w:t>10. API specification</w:t>
      </w:r>
    </w:p>
    <w:p>
      <w:r>
        <w:rPr>
          <w:i w:val="0"/>
        </w:rPr>
        <w:t>All routes are versioned under `/api/v1`. Use Pydantic response models. Dates are ISO-8601; all responses should include a source/data-status field where market observations or derived metrics are returned.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2880"/>
        <w:gridCol w:w="3312"/>
      </w:tblGrid>
      <w:tr>
        <w:trPr>
          <w:tblHeader w:val="true"/>
          <w:cantSplit/>
        </w:trPr>
        <w:tc>
          <w:tcPr>
            <w:tcW w:type="dxa" w:w="3888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Method + route</w:t>
            </w:r>
          </w:p>
        </w:tc>
        <w:tc>
          <w:tcPr>
            <w:tcW w:type="dxa" w:w="2880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3312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Notes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/health/live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Process liveness.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No DB dependency.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/health/ready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Readiness.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Checks DB connectivity/migrations.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/api/v1/dashboard/summary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Cards, top signals, data freshness/status.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Supports local fallback at frontend adapter.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/api/v1/contracts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Four canonical contract instruments.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Specifications and verification status.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/api/v1/contracts/{symbol}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Details for selected instrument.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Effective spec and source notes.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/api/v1/contracts/{symbol}/series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Expiry/date-filtered price series.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Require expiry or explicitly defined contract-selection rule.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/api/v1/comparisons?left=&amp;right=&amp;range=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Normalized pair series and features.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Canonicalize pair; reject same/unknown symbol.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/api/v1/signals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Filter/search/paginate signals.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Filter by status/type/pair/date/source quality.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/api/v1/signals/{signal_id}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Signal detail and reasoning.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Includes not-a-trade warning.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/api/v1/model/pairs/{pair_id}/training-summary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Calibration info.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Training window/count/quality status.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POST /api/v1/model/pairs/{pair_id}/calibrate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Create calibration version.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Requires explicit date window/config; no silent overwrite.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POST /api/v1/model/pairs/{pair_id}/score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Score a new/selected observation.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Returns algorithm, status, warnings and score.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/api/v1/events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Historical event records.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Filter by pair/category/time/data status.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/api/v1/backtests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List prior runs.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Paginate and filter by strategy/version.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POST /api/v1/backtests/run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Create a walk-forward backtest.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Small local run may be synchronous; larger run returns run ID/status.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POST /api/v1/ingestion/scan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Scan configured data root.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No writes into source root.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POST /api/v1/ingestion/import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Import approved discovered files.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Trusted local/admin route; row-level validation.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/api/v1/ingestion/runs/{run_id}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Import status and counts.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Accepted/rejected/quarantined and error sample.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GET /api/v1/ingestion/quality-report</w:t>
            </w:r>
          </w:p>
        </w:tc>
        <w:tc>
          <w:tcPr>
            <w:tcW w:type="dxa" w:w="28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Latest data-health summary.</w:t>
            </w:r>
          </w:p>
        </w:tc>
        <w:tc>
          <w:tcPr>
            <w:tcW w:type="dxa" w:w="33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3"/>
              </w:rPr>
              <w:t>By file, source class, symbol, dates and reason.</w:t>
            </w:r>
          </w:p>
        </w:tc>
      </w:tr>
    </w:tbl>
    <w:p>
      <w:pPr>
        <w:spacing w:after="0"/>
      </w:pPr>
    </w:p>
    <w:p>
      <w:pPr>
        <w:pStyle w:val="Heading1"/>
      </w:pPr>
      <w:r>
        <w:t>11. Frontend integration without redesign</w:t>
      </w:r>
    </w:p>
    <w:p>
      <w:pPr>
        <w:pStyle w:val="Heading2"/>
      </w:pPr>
      <w:r>
        <w:t>11.1 Adapter strategy</w:t>
      </w:r>
    </w:p>
    <w:p>
      <w:r>
        <w:rPr>
          <w:i w:val="0"/>
        </w:rPr>
        <w:t>Add a thin `src/services/` layer. Page components should not call `fetch` independently. API DTOs should be mapped into the existing TypeScript types (Contract, DemoSignal, HistoricalEvent, BacktestScenario, NoveltyObservation). Keep the present visual components and existing local dataset modules untouched.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3B1117"/>
                <w:sz w:val="15"/>
              </w:rPr>
              <w:t>src/services/</w:t>
              <w:br/>
              <w:t xml:space="preserve">  apiClient.ts              # base URL, timeout, JSON/error handling</w:t>
              <w:br/>
              <w:t xml:space="preserve">  contractsService.ts       # list/detail/series adapters</w:t>
              <w:br/>
              <w:t xml:space="preserve">  comparisonService.ts      # pair + date range adapters</w:t>
              <w:br/>
              <w:t xml:space="preserve">  signalsService.ts         # filters and details</w:t>
              <w:br/>
              <w:t xml:space="preserve">  modelService.ts            # calibration/score endpoints</w:t>
              <w:br/>
              <w:t xml:space="preserve">  backtestService.ts         # runs and metrics</w:t>
              <w:br/>
              <w:t xml:space="preserve">  dataSource.ts              # local/api/hybrid mode selection</w:t>
              <w:br/>
              <w:t xml:space="preserve">  compatibility.ts           # legacy aliases + DTO mapping</w:t>
            </w:r>
          </w:p>
        </w:tc>
      </w:tr>
    </w:tbl>
    <w:p>
      <w:pPr>
        <w:pStyle w:val="Heading2"/>
      </w:pPr>
      <w:r>
        <w:t>11.2 Data-source modes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680"/>
        <w:gridCol w:w="3816"/>
      </w:tblGrid>
      <w:tr>
        <w:trPr>
          <w:tblHeader w:val="true"/>
          <w:cantSplit/>
        </w:trPr>
        <w:tc>
          <w:tcPr>
            <w:tcW w:type="dxa" w:w="1584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Mode</w:t>
            </w:r>
          </w:p>
        </w:tc>
        <w:tc>
          <w:tcPr>
            <w:tcW w:type="dxa" w:w="4680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Behavior</w:t>
            </w:r>
          </w:p>
        </w:tc>
        <w:tc>
          <w:tcPr>
            <w:tcW w:type="dxa" w:w="3816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Use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local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Existing TypeScript data; no network dependency.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Keep as permanent demo/fallback and for visual regression.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api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Backend is source of truth; API failures show error states.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Integration tests/staging.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hybrid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API for supported market data and analytics; static local research/learn content remains local.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Recommended transition mode.</w:t>
            </w:r>
          </w:p>
        </w:tc>
      </w:tr>
    </w:tbl>
    <w:p>
      <w:pPr>
        <w:spacing w:after="0"/>
      </w:pPr>
    </w:p>
    <w:p>
      <w:r>
        <w:rPr>
          <w:i w:val="0"/>
        </w:rPr>
        <w:t>Configure using `VITE_DATA_MODE=local|api|hybrid` and `VITE_API_BASE_URL`. If API fallback is enabled, show an explicit fallback/data status; never quietly present local illustrative data as backend-verified market data.</w:t>
      </w:r>
    </w:p>
    <w:p>
      <w:pPr>
        <w:pStyle w:val="Heading2"/>
      </w:pPr>
      <w:r>
        <w:t>11.3 Legacy pair alias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3B1117"/>
                <w:sz w:val="15"/>
              </w:rPr>
              <w:t>canonical: GOLDGUINEA-GOLDPETAL</w:t>
              <w:br/>
              <w:t>legacy frontend alias: REST-GOLDPETAL</w:t>
              <w:br/>
              <w:t>adapter: canonicalizePairId(id) -&gt; canonical ID</w:t>
              <w:br/>
              <w:t>response mapper: optionally expose legacy display ID only to the current UI</w:t>
              <w:br/>
              <w:t>storage and analytics: canonical ID only</w:t>
            </w:r>
          </w:p>
        </w:tc>
      </w:tr>
    </w:tbl>
    <w:p>
      <w:pPr>
        <w:pStyle w:val="Heading1"/>
      </w:pPr>
      <w:r>
        <w:t>12. Security, reliability and operations</w:t>
      </w:r>
    </w:p>
    <w:p>
      <w:pPr>
        <w:pStyle w:val="ListBullet"/>
        <w:spacing w:after="40"/>
      </w:pPr>
      <w:r>
        <w:t>Use environment variables for secrets and database URLs. Commit only .env.example placeholders.</w:t>
      </w:r>
    </w:p>
    <w:p>
      <w:pPr>
        <w:pStyle w:val="ListBullet"/>
        <w:spacing w:after="40"/>
      </w:pPr>
      <w:r>
        <w:t>Limit CORS to the configured frontend origin(s); do not enable wildcard credentialed CORS.</w:t>
      </w:r>
    </w:p>
    <w:p>
      <w:pPr>
        <w:pStyle w:val="ListBullet"/>
        <w:spacing w:after="40"/>
      </w:pPr>
      <w:r>
        <w:t>Keep ingestion/import/calibration/backtest-admin operations local or access-controlled; do not expose arbitrary filesystem paths to clients.</w:t>
      </w:r>
    </w:p>
    <w:p>
      <w:pPr>
        <w:pStyle w:val="ListBullet"/>
        <w:spacing w:after="40"/>
      </w:pPr>
      <w:r>
        <w:t>Resolve source file paths under the configured root and reject path traversal/symlinks escaping the root.</w:t>
      </w:r>
    </w:p>
    <w:p>
      <w:pPr>
        <w:pStyle w:val="ListBullet"/>
        <w:spacing w:after="40"/>
      </w:pPr>
      <w:r>
        <w:t>Enforce upload size limits, supported file types, parser timeouts and safe error messages.</w:t>
      </w:r>
    </w:p>
    <w:p>
      <w:pPr>
        <w:pStyle w:val="ListBullet"/>
        <w:spacing w:after="40"/>
      </w:pPr>
      <w:r>
        <w:t>Use structured logs with request IDs and import-run IDs. Do not log credentials.</w:t>
      </w:r>
    </w:p>
    <w:p>
      <w:pPr>
        <w:pStyle w:val="ListBullet"/>
        <w:spacing w:after="40"/>
      </w:pPr>
      <w:r>
        <w:t>Use database transactions, unique constraints and idempotent import keys.</w:t>
      </w:r>
    </w:p>
    <w:p>
      <w:pPr>
        <w:pStyle w:val="ListBullet"/>
        <w:spacing w:after="40"/>
      </w:pPr>
      <w:r>
        <w:t>Expose liveness and readiness checks separately. A running process with an unavailable DB should not report full readiness.</w:t>
      </w:r>
    </w:p>
    <w:p>
      <w:pPr>
        <w:pStyle w:val="ListBullet"/>
        <w:spacing w:after="40"/>
      </w:pPr>
      <w:r>
        <w:t>For first release, use Docker Compose for API + PostgreSQL if available; avoid adding Redis/Celery until workload demands it.</w:t>
      </w:r>
    </w:p>
    <w:p>
      <w:pPr>
        <w:pStyle w:val="Heading1"/>
      </w:pPr>
      <w:r>
        <w:t>13. Testing strategy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  <w:cantSplit/>
        </w:trPr>
        <w:tc>
          <w:tcPr>
            <w:tcW w:type="dxa" w:w="2088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Test layer</w:t>
            </w:r>
          </w:p>
        </w:tc>
        <w:tc>
          <w:tcPr>
            <w:tcW w:type="dxa" w:w="7992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tests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Parser tests</w:t>
            </w:r>
          </w:p>
        </w:tc>
        <w:tc>
          <w:tcPr>
            <w:tcW w:type="dxa" w:w="79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HTML disguised as XLS, native XLS, CSV, expected headers, blank sheets, invalid dates, malformed encodings, unsupported file.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Immutability tests</w:t>
            </w:r>
          </w:p>
        </w:tc>
        <w:tc>
          <w:tcPr>
            <w:tcW w:type="dxa" w:w="79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Hash each source file before/after scan/import; assert identical hashes and no generated files written in source root.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Data-quality tests</w:t>
            </w:r>
          </w:p>
        </w:tc>
        <w:tc>
          <w:tcPr>
            <w:tcW w:type="dxa" w:w="79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OPTFUT excluded from futures bars; zero activity remains zero/no price; missing OHLC quarantined; no invalid date/expiry accepted.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Normalization tests</w:t>
            </w:r>
          </w:p>
        </w:tc>
        <w:tc>
          <w:tcPr>
            <w:tcW w:type="dxa" w:w="79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Hand-calculated values for each quote rule; effective-dated spec; special contract conversion only when verified.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Pair tests</w:t>
            </w:r>
          </w:p>
        </w:tc>
        <w:tc>
          <w:tcPr>
            <w:tcW w:type="dxa" w:w="79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Six unique pairs; order-independent lookup; `REST-GOLDPETAL` alias maps to canonical pair without changing DB IDs.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Novelty tests</w:t>
            </w:r>
          </w:p>
        </w:tc>
        <w:tc>
          <w:tcPr>
            <w:tcW w:type="dxa" w:w="79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MAD path, IQR fallback, scale floor, positive/negative z, threshold edge, deterministic outputs and calibration excludes scored row.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Temporal tests</w:t>
            </w:r>
          </w:p>
        </w:tc>
        <w:tc>
          <w:tcPr>
            <w:tcW w:type="dxa" w:w="79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Feature windows and calibrations use only available history; random row split is prohibited for evaluation.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API tests</w:t>
            </w:r>
          </w:p>
        </w:tc>
        <w:tc>
          <w:tcPr>
            <w:tcW w:type="dxa" w:w="79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Response schema, invalid symbol/pair, filters, pagination, errors, readiness and data-status field.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Integration tests</w:t>
            </w:r>
          </w:p>
        </w:tc>
        <w:tc>
          <w:tcPr>
            <w:tcW w:type="dxa" w:w="79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UI local mode still works; API mode routes load; API down behavior is graceful; no visual/layout changes.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Backtest tests</w:t>
            </w:r>
          </w:p>
        </w:tc>
        <w:tc>
          <w:tcPr>
            <w:tcW w:type="dxa" w:w="79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Cost arithmetic, fill timing assumptions, expiry restrictions, reproducibility and no future leakage.</w:t>
            </w:r>
          </w:p>
        </w:tc>
      </w:tr>
    </w:tbl>
    <w:p>
      <w:pPr>
        <w:spacing w:after="0"/>
      </w:pPr>
    </w:p>
    <w:p>
      <w:pPr>
        <w:pStyle w:val="Heading1"/>
      </w:pPr>
      <w:r>
        <w:t>14. Implementation sequence and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464"/>
        <w:gridCol w:w="4104"/>
      </w:tblGrid>
      <w:tr>
        <w:trPr>
          <w:tblHeader w:val="true"/>
          <w:cantSplit/>
        </w:trPr>
        <w:tc>
          <w:tcPr>
            <w:tcW w:type="dxa" w:w="1512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Phase</w:t>
            </w:r>
          </w:p>
        </w:tc>
        <w:tc>
          <w:tcPr>
            <w:tcW w:type="dxa" w:w="4464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Implementation</w:t>
            </w:r>
          </w:p>
        </w:tc>
        <w:tc>
          <w:tcPr>
            <w:tcW w:type="dxa" w:w="4104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evidence to proceed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0. Audit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Inventory repo and source types; freeze hashes; resolve contract/pair mapping contract.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Audit report and approved mappings.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1. Skeleton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FastAPI app, config, logging, health endpoints, PostgreSQL, migrations.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App starts; readiness works; smoke tests pass.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2. Ingestion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Read-only manifest, content sniffing, parser adapters, staging and quality report.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Original hashes unchanged; bad rows quarantined.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3. Market master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Contract-spec versioning, futures bars, activity tables, normalization.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Known-value normalization tests pass.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4. Analytics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Pair features, robust novelty baseline, scoring/explanation API.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Backend output matches approved fixtures/current baseline where equivalent.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5. UI adapter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API clients, DTO mapper, feature flag, minimal page data-source changes.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Visual parity + local fallback passes.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6. Backtest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Walk-forward evaluation, costs, benchmark and stored run metadata.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No-lookahead tests and reproducible run.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7. Hardening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Caching, scheduling, health/metrics/logs, deployment docs.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Operational checklist passes.</w:t>
            </w:r>
          </w:p>
        </w:tc>
      </w:tr>
    </w:tbl>
    <w:p>
      <w:pPr>
        <w:spacing w:after="0"/>
      </w:pPr>
    </w:p>
    <w:p>
      <w:pPr>
        <w:pStyle w:val="Heading1"/>
      </w:pPr>
      <w:r>
        <w:t>15. Definition of done</w:t>
      </w:r>
    </w:p>
    <w:p>
      <w:pPr>
        <w:pStyle w:val="ListBullet"/>
        <w:spacing w:after="40"/>
      </w:pPr>
      <w:r>
        <w:t>Backend has a documented install/run process and working health/readiness endpoints.</w:t>
      </w:r>
    </w:p>
    <w:p>
      <w:pPr>
        <w:pStyle w:val="ListBullet"/>
        <w:spacing w:after="40"/>
      </w:pPr>
      <w:r>
        <w:t>Database schema is migration-managed, not only created ad hoc.</w:t>
      </w:r>
    </w:p>
    <w:p>
      <w:pPr>
        <w:pStyle w:val="ListBullet"/>
        <w:spacing w:after="40"/>
      </w:pPr>
      <w:r>
        <w:t>Original frontend visual components/pages and source data files have not been destructively changed.</w:t>
      </w:r>
    </w:p>
    <w:p>
      <w:pPr>
        <w:pStyle w:val="ListBullet"/>
        <w:spacing w:after="40"/>
      </w:pPr>
      <w:r>
        <w:t>Every imported file is registered with SHA-256, detected format, source class, parser version and import result.</w:t>
      </w:r>
    </w:p>
    <w:p>
      <w:pPr>
        <w:pStyle w:val="ListBullet"/>
        <w:spacing w:after="40"/>
      </w:pPr>
      <w:r>
        <w:t>Input files are never changed; quarantine/export/log storage is outside the raw source root.</w:t>
      </w:r>
    </w:p>
    <w:p>
      <w:pPr>
        <w:pStyle w:val="ListBullet"/>
        <w:spacing w:after="40"/>
      </w:pPr>
      <w:r>
        <w:t>Options/activity/specification rows are not silently mixed into futures OHLC history.</w:t>
      </w:r>
    </w:p>
    <w:p>
      <w:pPr>
        <w:pStyle w:val="ListBullet"/>
        <w:spacing w:after="40"/>
      </w:pPr>
      <w:r>
        <w:t>Canonical contract IDs and all six canonical pair IDs are stable.</w:t>
      </w:r>
    </w:p>
    <w:p>
      <w:pPr>
        <w:pStyle w:val="ListBullet"/>
        <w:spacing w:after="40"/>
      </w:pPr>
      <w:r>
        <w:t>Normalizing and novelty-scoring calculations have independent unit tests and transparent explanations.</w:t>
      </w:r>
    </w:p>
    <w:p>
      <w:pPr>
        <w:pStyle w:val="ListBullet"/>
        <w:spacing w:after="40"/>
      </w:pPr>
      <w:r>
        <w:t>All market/derived API results carry provenance/data quality and algorithm version as applicable.</w:t>
      </w:r>
    </w:p>
    <w:p>
      <w:pPr>
        <w:pStyle w:val="ListBullet"/>
        <w:spacing w:after="40"/>
      </w:pPr>
      <w:r>
        <w:t>Existing frontend has local mode and preserves its visual design; API/hybrid mode is configurable.</w:t>
      </w:r>
    </w:p>
    <w:p>
      <w:pPr>
        <w:pStyle w:val="ListBullet"/>
        <w:spacing w:after="40"/>
      </w:pPr>
      <w:r>
        <w:t>Walk-forward validation uses chronologically separated training/test windows and reports costs/assumptions.</w:t>
      </w:r>
    </w:p>
    <w:p>
      <w:pPr>
        <w:pStyle w:val="ListBullet"/>
        <w:spacing w:after="40"/>
      </w:pPr>
      <w:r>
        <w:t>Data limitations and unverified metrics are documented in README and API/UI status messages.</w:t>
      </w:r>
    </w:p>
    <w:p>
      <w:pPr>
        <w:pStyle w:val="Heading1"/>
      </w:pPr>
      <w:r>
        <w:t>Appendix A — Recommended dependencies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5184"/>
      </w:tblGrid>
      <w:tr>
        <w:trPr>
          <w:tblHeader w:val="true"/>
          <w:cantSplit/>
        </w:trPr>
        <w:tc>
          <w:tcPr>
            <w:tcW w:type="dxa" w:w="2448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Package</w:t>
            </w:r>
          </w:p>
        </w:tc>
        <w:tc>
          <w:tcPr>
            <w:tcW w:type="dxa" w:w="2448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Role</w:t>
            </w:r>
          </w:p>
        </w:tc>
        <w:tc>
          <w:tcPr>
            <w:tcW w:type="dxa" w:w="5184"/>
            <w:shd w:fill="662023"/>
            <w:tcMar>
              <w:top w:w="80" w:type="dxa"/>
              <w:start w:w="85" w:type="dxa"/>
              <w:bottom w:w="8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fastapi + uvicorn[standard]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HTTP API</w:t>
            </w:r>
          </w:p>
        </w:tc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Async web application and local server.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pydantic-settings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Configuration</w:t>
            </w:r>
          </w:p>
        </w:tc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Typed environment configuration.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sqlalchemy + psycopg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Database</w:t>
            </w:r>
          </w:p>
        </w:tc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SQLAlchemy 2 and PostgreSQL driver.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alembic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Migrations</w:t>
            </w:r>
          </w:p>
        </w:tc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Version-controlled schema changes.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pandas + numpy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Parsing/analytics</w:t>
            </w:r>
          </w:p>
        </w:tc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Used in import and time-series services.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xlrd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Native legacy XLS</w:t>
            </w:r>
          </w:p>
        </w:tc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Only where the file is genuinely XLS; do not confuse HTML-table XLS.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beautifulsoup4 / lxml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HTML-table parsing</w:t>
            </w:r>
          </w:p>
        </w:tc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Content-sniffing parser for HTML disguised with .xls extension.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pypdf (optional)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PDF text extraction</w:t>
            </w:r>
          </w:p>
        </w:tc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Convenience only; specification values still require review.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pytest + httpx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Tests</w:t>
            </w:r>
          </w:p>
        </w:tc>
        <w:tc>
          <w:tcPr>
            <w:tcW w:type="dxa" w:w="51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9F3"/>
          </w:tcPr>
          <w:p>
            <w:pPr>
              <w:spacing w:after="0" w:line="240" w:lineRule="auto"/>
            </w:pPr>
            <w:r>
              <w:rPr>
                <w:color w:val="33221F"/>
                <w:sz w:val="14"/>
              </w:rPr>
              <w:t>Unit and FastAPI integration tests.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— Backend environment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3B1117"/>
                <w:sz w:val="15"/>
              </w:rPr>
              <w:t># backend/.env.example (illustrative)</w:t>
              <w:br/>
              <w:t>APP_ENV=development</w:t>
              <w:br/>
              <w:t>DATABASE_URL=postgresql+psycopg://mcx_app:change-me@localhost:5432/mcx_gold</w:t>
              <w:br/>
              <w:t>CORS_ORIGINS=http://localhost:5173</w:t>
              <w:br/>
              <w:t>MCX_DATA_DIR=../GoldMcx_Data - Copy</w:t>
              <w:br/>
              <w:t>MCX_EXTRA_FILES_DIR=../mcx-imports</w:t>
              <w:br/>
              <w:t>DATA_WRITE_MODE=read_only</w:t>
              <w:br/>
              <w:t>LOG_LEVEL=INFO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6645B"/>
        <w:sz w:val="15"/>
      </w:rPr>
      <w:t xml:space="preserve">TRD v1.0  •  Internal engineering specification  •  </w:t>
    </w:r>
    <w:r>
      <w:rPr>
        <w:color w:val="76645B"/>
        <w:sz w:val="15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  <w:pBdr>
        <w:bottom w:val="single" w:sz="8" w:space="3" w:color="DCCBBE"/>
      </w:pBdr>
    </w:pPr>
    <w:r>
      <w:rPr>
        <w:rFonts w:ascii="Aptos" w:hAnsi="Aptos"/>
        <w:b/>
        <w:color w:val="662023"/>
        <w:sz w:val="15"/>
      </w:rPr>
      <w:t>MCX GOLD INTELLIGENCE  /  BACKEND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3322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6620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B11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66202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66202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80"/>
    </w:pPr>
    <w:rPr>
      <w:rFonts w:asciiTheme="majorHAnsi" w:eastAsiaTheme="majorEastAsia" w:hAnsiTheme="majorHAnsi" w:cstheme="majorBidi" w:ascii="Aptos" w:hAnsi="Aptos" w:eastAsia="Aptos"/>
      <w:b w:val="0"/>
      <w:i/>
      <w:iCs/>
      <w:color w:val="76645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