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Non-Functional Requirements</w:t>
      </w:r>
    </w:p>
    <w:p>
      <w:pPr>
        <w:spacing w:after="120"/>
      </w:pPr>
      <w:r>
        <w:t xml:space="preserve">AI Resume Analyzer &amp; Job Matcher — CSCI 5411 Term Project</w:t>
      </w:r>
    </w:p>
    <w:p>
      <w:pPr>
        <w:pStyle w:val="Heading1"/>
        <w:spacing w:after="120" w:before="240"/>
      </w:pPr>
      <w:r>
        <w:t xml:space="preserve">Quality Attributes</w:t>
      </w:r>
    </w:p>
    <w:p>
      <w:pPr>
        <w:spacing w:after="120"/>
      </w:pPr>
      <w:r>
        <w:t xml:space="preserve">Targets below are stated as concrete numbers against explicit assumptions (a single-region academic pilot scaling toward department-wide adoption), and each target is linked to the specific architectural decision that achieves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F5496" w:color="2F549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pct" w:w="38%"/>
            <w:shd w:fill="2F5496" w:color="2F549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pct" w:w="46%"/>
            <w:shd w:fill="2F5496" w:color="2F549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Architectural Linkage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 a burst of 50 concurrent resume uploads (e.g., a campus career-fair window), scaling to 500 concurrent within the same architecture with no redeployment. 1-year growth assumption: from a pilot of ~50 daily active users to ~2,000 monthly active users (~300 resumes/day at peak adoption).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Lambda scales horizontally per-request with no provisioned capacity to manage (the Learner Lab account's default concurrency limit of 1,000 is well above the projected peak). DynamoDB PAY_PER_REQUEST billing on both JobsTable and ResultsTable scales read/write capacity automatically, removing the need for capacity planning. S3 and the API Gateway HTTP APIs scale transparently behind both endpoints.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99.9% (~8.76 hours/year allowable downtime) for the synchronous path: login, GET /jobs, GET /results/{candidateId}, GET /jobs/{jobId}/results.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component on the critical path — Cognito, API Gateway, Lambda, DynamoDB, S3 — is a managed, multi-AZ AWS service with no single point of failure under our control. The one external dependency, the Hugging Face Inference API, sits only on the asynchronous analysis path, so a Hugging Face outage degrades scoring latency but does not take down login, browsing, or result viewing.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Latency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p95 &lt; 500 ms for synchronous reads (GET /jobs, GET /results/{candidateId}, GET /jobs/{jobId}/results). p95 &lt; 60 s end-to-end for the async pipeline (upload -&gt; Textract -&gt; Hugging Face scoring -&gt; stored result).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DynamoDB single-digit-millisecond reads plus a typical warm Lambda invocation (&lt;100 ms) comfortably meet the synchronous target. The async target is dominated by Textract OCR (~2-5 s) and the Hugging Face LLM call (~5-20 s depending on model load), which is why the frontend polls every 5 seconds for up to 2 minutes instead of blocking the upload request on a synchronous response.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Durability / RPO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data loss for confirmed-uploaded resumes and confirmed-written results. RPO &lt;= 5 minutes for accidental table-level corruption or deletion.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versioning is enabled on the resumes bucket, protecting against accidental overwrite or delete of an uploaded file. Both DynamoDB tables (JobsTable, ResultsTable) have point-in-time recovery enabled, giving continuous backups with per-second restore granularity for the last 35 days. S3 itself provides 99.999999999% (11 nines) durability for stored objects.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&amp; Compliance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unauthenticated access to any candidate or job data. Resumes, which contain PII (name, email, phone, work history), must never be publicly reachable.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API route requires a valid Cognito-issued JWT, validated by an API Gateway JWT authorizer. Role separation (students vs. recruiters) is enforced server-side, per-Lambda, from the token's cognito:groups claim — never trusted from the client. Both S3 buckets (resumes, frontend) block all public access: resumes are reached only through short-lived presigned URLs, and the frontend is served by a Lambda reading S3 under its own execution role. The Hugging Face API token lives in Secrets Manager, never in Terraform state or source control.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Maintainability / Deployability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full environment can be redeployed from zero in under 15 minutes with one command. Every infrastructure and application change is reviewable in source control before it reaches AWS.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Terraform IaC (verified: zero manually-created resources) with remote state in S3. GitHub Actions runs terraform validate and terraform apply on every push to main. Every Lambda has a dedicated CloudWatch Log Group (14-day retention) for debugging — this is exactly how the cognito:groups claim-parsing bug was diagnosed during this project (see Well-Architected: Operational Excellence).</w:t>
            </w:r>
          </w:p>
        </w:tc>
      </w:tr>
    </w:tbl>
    <w:p>
      <w:pPr>
        <w:spacing w:after="120"/>
      </w:pPr>
      <w:r>
        <w:t xml:space="preserve">Documented gaps: no AWS X-Ray distributed tracing is wired in yet, and IAM is constrained to the AWS Academy Learner Lab's pre-provisioned LabRole rather than per-Lambda least-privilege roles. Both are discussed as explicit trade-offs in the Well-Architected Framework section rather than treated as oversights.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2026-06-30T01:40:55.822Z</dcterms:created>
  <dcterms:modified xsi:type="dcterms:W3CDTF">2026-06-30T01:40:55.822Z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