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 Stack Selection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Technology</w:t>
            </w:r>
          </w:p>
        </w:tc>
        <w:tc>
          <w:tcPr>
            <w:tcW w:type="dxa" w:w="1728"/>
          </w:tcPr>
          <w:p>
            <w:r>
              <w:t>Rationale</w:t>
            </w:r>
          </w:p>
        </w:tc>
        <w:tc>
          <w:tcPr>
            <w:tcW w:type="dxa" w:w="1728"/>
          </w:tcPr>
          <w:p>
            <w:r>
              <w:t>Alternative Considered</w:t>
            </w:r>
          </w:p>
        </w:tc>
        <w:tc>
          <w:tcPr>
            <w:tcW w:type="dxa" w:w="1728"/>
          </w:tcPr>
          <w:p>
            <w:r>
              <w:t>Limitations / Risks</w:t>
            </w:r>
          </w:p>
        </w:tc>
      </w:tr>
      <w:tr>
        <w:tc>
          <w:tcPr>
            <w:tcW w:type="dxa" w:w="1728"/>
          </w:tcPr>
          <w:p>
            <w:r>
              <w:t>Compute</w:t>
            </w:r>
          </w:p>
        </w:tc>
        <w:tc>
          <w:tcPr>
            <w:tcW w:type="dxa" w:w="1728"/>
          </w:tcPr>
          <w:p>
            <w:r>
              <w:t>AWS Lambda</w:t>
            </w:r>
          </w:p>
        </w:tc>
        <w:tc>
          <w:tcPr>
            <w:tcW w:type="dxa" w:w="1728"/>
          </w:tcPr>
          <w:p>
            <w:r>
              <w:t>Pay-per-use, no server management, scales automatically with event volume</w:t>
            </w:r>
          </w:p>
        </w:tc>
        <w:tc>
          <w:tcPr>
            <w:tcW w:type="dxa" w:w="1728"/>
          </w:tcPr>
          <w:p>
            <w:r>
              <w:t>ECS Fargate</w:t>
            </w:r>
          </w:p>
        </w:tc>
        <w:tc>
          <w:tcPr>
            <w:tcW w:type="dxa" w:w="1728"/>
          </w:tcPr>
          <w:p>
            <w:r>
              <w:t>Cold starts; 15-min max execution</w:t>
            </w:r>
          </w:p>
        </w:tc>
      </w:tr>
      <w:tr>
        <w:tc>
          <w:tcPr>
            <w:tcW w:type="dxa" w:w="1728"/>
          </w:tcPr>
          <w:p>
            <w:r>
              <w:t>API layer</w:t>
            </w:r>
          </w:p>
        </w:tc>
        <w:tc>
          <w:tcPr>
            <w:tcW w:type="dxa" w:w="1728"/>
          </w:tcPr>
          <w:p>
            <w:r>
              <w:t>API Gateway HTTP API</w:t>
            </w:r>
          </w:p>
        </w:tc>
        <w:tc>
          <w:tcPr>
            <w:tcW w:type="dxa" w:w="1728"/>
          </w:tcPr>
          <w:p>
            <w:r>
              <w:t>Lower cost &amp; latency than REST API for simple proxy integrations</w:t>
            </w:r>
          </w:p>
        </w:tc>
        <w:tc>
          <w:tcPr>
            <w:tcW w:type="dxa" w:w="1728"/>
          </w:tcPr>
          <w:p>
            <w:r>
              <w:t>ALB + Lambda</w:t>
            </w:r>
          </w:p>
        </w:tc>
        <w:tc>
          <w:tcPr>
            <w:tcW w:type="dxa" w:w="1728"/>
          </w:tcPr>
          <w:p>
            <w:r>
              <w:t>Fewer built-in features than REST API (e.g. request validation)</w:t>
            </w:r>
          </w:p>
        </w:tc>
      </w:tr>
      <w:tr>
        <w:tc>
          <w:tcPr>
            <w:tcW w:type="dxa" w:w="1728"/>
          </w:tcPr>
          <w:p>
            <w:r>
              <w:t>Orchestration</w:t>
            </w:r>
          </w:p>
        </w:tc>
        <w:tc>
          <w:tcPr>
            <w:tcW w:type="dxa" w:w="1728"/>
          </w:tcPr>
          <w:p>
            <w:r>
              <w:t>Step Functions (Standard)</w:t>
            </w:r>
          </w:p>
        </w:tc>
        <w:tc>
          <w:tcPr>
            <w:tcW w:type="dxa" w:w="1728"/>
          </w:tcPr>
          <w:p>
            <w:r>
              <w:t>Built-in retry/DLQ semantics, visual execution history, decouples pipeline stages</w:t>
            </w:r>
          </w:p>
        </w:tc>
        <w:tc>
          <w:tcPr>
            <w:tcW w:type="dxa" w:w="1728"/>
          </w:tcPr>
          <w:p>
            <w:r>
              <w:t>Single monolithic Lambda</w:t>
            </w:r>
          </w:p>
        </w:tc>
        <w:tc>
          <w:tcPr>
            <w:tcW w:type="dxa" w:w="1728"/>
          </w:tcPr>
          <w:p>
            <w:r>
              <w:t>Added cost per state transition; more moving parts</w:t>
            </w:r>
          </w:p>
        </w:tc>
      </w:tr>
      <w:tr>
        <w:tc>
          <w:tcPr>
            <w:tcW w:type="dxa" w:w="1728"/>
          </w:tcPr>
          <w:p>
            <w:r>
              <w:t>Object storage</w:t>
            </w:r>
          </w:p>
        </w:tc>
        <w:tc>
          <w:tcPr>
            <w:tcW w:type="dxa" w:w="1728"/>
          </w:tcPr>
          <w:p>
            <w:r>
              <w:t>Amazon S3</w:t>
            </w:r>
          </w:p>
        </w:tc>
        <w:tc>
          <w:tcPr>
            <w:tcW w:type="dxa" w:w="1728"/>
          </w:tcPr>
          <w:p>
            <w:r>
              <w:t>Durable, cheap storage for PDFs; native event notifications</w:t>
            </w:r>
          </w:p>
        </w:tc>
        <w:tc>
          <w:tcPr>
            <w:tcW w:type="dxa" w:w="1728"/>
          </w:tcPr>
          <w:p>
            <w:r>
              <w:t>EFS</w:t>
            </w:r>
          </w:p>
        </w:tc>
        <w:tc>
          <w:tcPr>
            <w:tcW w:type="dxa" w:w="1728"/>
          </w:tcPr>
          <w:p>
            <w:r>
              <w:t>Eventual consistency edge cases (largely resolved in modern S3)</w:t>
            </w:r>
          </w:p>
        </w:tc>
      </w:tr>
      <w:tr>
        <w:tc>
          <w:tcPr>
            <w:tcW w:type="dxa" w:w="1728"/>
          </w:tcPr>
          <w:p>
            <w:r>
              <w:t>NoSQL DB</w:t>
            </w:r>
          </w:p>
        </w:tc>
        <w:tc>
          <w:tcPr>
            <w:tcW w:type="dxa" w:w="1728"/>
          </w:tcPr>
          <w:p>
            <w:r>
              <w:t>DynamoDB</w:t>
            </w:r>
          </w:p>
        </w:tc>
        <w:tc>
          <w:tcPr>
            <w:tcW w:type="dxa" w:w="1728"/>
          </w:tcPr>
          <w:p>
            <w:r>
              <w:t>Simple key-based access patterns (candidateId/resumeId), on-demand scaling, no schema migrations</w:t>
            </w:r>
          </w:p>
        </w:tc>
        <w:tc>
          <w:tcPr>
            <w:tcW w:type="dxa" w:w="1728"/>
          </w:tcPr>
          <w:p>
            <w:r>
              <w:t>RDS/PostgreSQL</w:t>
            </w:r>
          </w:p>
        </w:tc>
        <w:tc>
          <w:tcPr>
            <w:tcW w:type="dxa" w:w="1728"/>
          </w:tcPr>
          <w:p>
            <w:r>
              <w:t>Limited query flexibility vs relational joins</w:t>
            </w:r>
          </w:p>
        </w:tc>
      </w:tr>
      <w:tr>
        <w:tc>
          <w:tcPr>
            <w:tcW w:type="dxa" w:w="1728"/>
          </w:tcPr>
          <w:p>
            <w:r>
              <w:t>Document AI</w:t>
            </w:r>
          </w:p>
        </w:tc>
        <w:tc>
          <w:tcPr>
            <w:tcW w:type="dxa" w:w="1728"/>
          </w:tcPr>
          <w:p>
            <w:r>
              <w:t>Amazon Textract</w:t>
            </w:r>
          </w:p>
        </w:tc>
        <w:tc>
          <w:tcPr>
            <w:tcW w:type="dxa" w:w="1728"/>
          </w:tcPr>
          <w:p>
            <w:r>
              <w:t>AWS-native OCR, integrates directly with S3/IAM via LabRole</w:t>
            </w:r>
          </w:p>
        </w:tc>
        <w:tc>
          <w:tcPr>
            <w:tcW w:type="dxa" w:w="1728"/>
          </w:tcPr>
          <w:p>
            <w:r>
              <w:t>Open-source OCR (Tesseract) on Lambda</w:t>
            </w:r>
          </w:p>
        </w:tc>
        <w:tc>
          <w:tcPr>
            <w:tcW w:type="dxa" w:w="1728"/>
          </w:tcPr>
          <w:p>
            <w:r>
              <w:t>Per-page cost; English-optimized</w:t>
            </w:r>
          </w:p>
        </w:tc>
      </w:tr>
      <w:tr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Hugging Face Inference API</w:t>
            </w:r>
          </w:p>
        </w:tc>
        <w:tc>
          <w:tcPr>
            <w:tcW w:type="dxa" w:w="1728"/>
          </w:tcPr>
          <w:p>
            <w:r>
              <w:t>Bedrock is blocked under AWS Academy Learner Lab IAM restrictions; HF provides a hosted, pay-as-you-go alternative reachable over HTTPS</w:t>
            </w:r>
          </w:p>
        </w:tc>
        <w:tc>
          <w:tcPr>
            <w:tcW w:type="dxa" w:w="1728"/>
          </w:tcPr>
          <w:p>
            <w:r>
              <w:t>Amazon Bedrock (blocked in this environment)</w:t>
            </w:r>
          </w:p>
        </w:tc>
        <w:tc>
          <w:tcPr>
            <w:tcW w:type="dxa" w:w="1728"/>
          </w:tcPr>
          <w:p>
            <w:r>
              <w:t>External dependency outside AWS network; token managed in Secrets Manager but call leaves AWS; no AWS SLA</w:t>
            </w:r>
          </w:p>
        </w:tc>
      </w:tr>
      <w:tr>
        <w:tc>
          <w:tcPr>
            <w:tcW w:type="dxa" w:w="1728"/>
          </w:tcPr>
          <w:p>
            <w:r>
              <w:t>Messaging</w:t>
            </w:r>
          </w:p>
        </w:tc>
        <w:tc>
          <w:tcPr>
            <w:tcW w:type="dxa" w:w="1728"/>
          </w:tcPr>
          <w:p>
            <w:r>
              <w:t>SNS + EventBridge</w:t>
            </w:r>
          </w:p>
        </w:tc>
        <w:tc>
          <w:tcPr>
            <w:tcW w:type="dxa" w:w="1728"/>
          </w:tcPr>
          <w:p>
            <w:r>
              <w:t>Decoupled notification fan-out (SNS) and reliable scheduling (EventBridge) without managing servers</w:t>
            </w:r>
          </w:p>
        </w:tc>
        <w:tc>
          <w:tcPr>
            <w:tcW w:type="dxa" w:w="1728"/>
          </w:tcPr>
          <w:p>
            <w:r>
              <w:t>SQS polling / cron on EC2</w:t>
            </w:r>
          </w:p>
        </w:tc>
        <w:tc>
          <w:tcPr>
            <w:tcW w:type="dxa" w:w="1728"/>
          </w:tcPr>
          <w:p>
            <w:r>
              <w:t>At-least-once delivery semantics require idempotent consumers</w:t>
            </w:r>
          </w:p>
        </w:tc>
      </w:tr>
      <w:tr>
        <w:tc>
          <w:tcPr>
            <w:tcW w:type="dxa" w:w="1728"/>
          </w:tcPr>
          <w:p>
            <w:r>
              <w:t>IaC</w:t>
            </w:r>
          </w:p>
        </w:tc>
        <w:tc>
          <w:tcPr>
            <w:tcW w:type="dxa" w:w="1728"/>
          </w:tcPr>
          <w:p>
            <w:r>
              <w:t>AWS CDK (TypeScript)</w:t>
            </w:r>
          </w:p>
        </w:tc>
        <w:tc>
          <w:tcPr>
            <w:tcW w:type="dxa" w:w="1728"/>
          </w:tcPr>
          <w:p>
            <w:r>
              <w:t>Type-safe, reusable constructs; first-class support for importing existing roles (LabRole) via fromRoleArn</w:t>
            </w:r>
          </w:p>
        </w:tc>
        <w:tc>
          <w:tcPr>
            <w:tcW w:type="dxa" w:w="1728"/>
          </w:tcPr>
          <w:p>
            <w:r>
              <w:t>raw CloudFormation / Terraform</w:t>
            </w:r>
          </w:p>
        </w:tc>
        <w:tc>
          <w:tcPr>
            <w:tcW w:type="dxa" w:w="1728"/>
          </w:tcPr>
          <w:p>
            <w:r>
              <w:t>CDK synth/deploy requires Node tooling; steeper learning curve than console</w:t>
            </w:r>
          </w:p>
        </w:tc>
      </w:tr>
      <w:tr>
        <w:tc>
          <w:tcPr>
            <w:tcW w:type="dxa" w:w="1728"/>
          </w:tcPr>
          <w:p>
            <w:r>
              <w:t>CI/CD</w:t>
            </w:r>
          </w:p>
        </w:tc>
        <w:tc>
          <w:tcPr>
            <w:tcW w:type="dxa" w:w="1728"/>
          </w:tcPr>
          <w:p>
            <w:r>
              <w:t>GitHub Actions</w:t>
            </w:r>
          </w:p>
        </w:tc>
        <w:tc>
          <w:tcPr>
            <w:tcW w:type="dxa" w:w="1728"/>
          </w:tcPr>
          <w:p>
            <w:r>
              <w:t>Native integration with GitHub-hosted private repo; free tier sufficient for project scope</w:t>
            </w:r>
          </w:p>
        </w:tc>
        <w:tc>
          <w:tcPr>
            <w:tcW w:type="dxa" w:w="1728"/>
          </w:tcPr>
          <w:p>
            <w:r>
              <w:t>GitLab CI</w:t>
            </w:r>
          </w:p>
        </w:tc>
        <w:tc>
          <w:tcPr>
            <w:tcW w:type="dxa" w:w="1728"/>
          </w:tcPr>
          <w:p>
            <w:r>
              <w:t>Learner Lab session credentials expire ~4h, requiring manual secret refresh between sessions</w:t>
            </w:r>
          </w:p>
        </w:tc>
      </w:tr>
    </w:tbl>
    <w:p/>
    <w:p>
      <w:r>
        <w:rPr>
          <w:i/>
          <w:color w:val="993300"/>
        </w:rPr>
        <w:t>TODO: Add 1-2 sentences of honest risk discussion under each row where missing (rubric §4.4 requires both rationale AND limitations/risks).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