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Well-Architected Framework — Pillar Analysis</w:t>
      </w:r>
    </w:p>
    <w:p>
      <w:pPr>
        <w:pStyle w:val="Heading1"/>
      </w:pPr>
      <w:r>
        <w:t>Operational Excellence</w:t>
      </w:r>
    </w:p>
    <w:p>
      <w:r>
        <w:t>Decisions: Full IaC via CDK (no manually created resources); GitHub Actions CI/CD deploys on merge to main.</w:t>
      </w:r>
    </w:p>
    <w:p>
      <w:r>
        <w:t>Trade-off: TODO</w:t>
      </w:r>
    </w:p>
    <w:p>
      <w:pPr>
        <w:pStyle w:val="Heading1"/>
      </w:pPr>
      <w:r>
        <w:t>Security</w:t>
      </w:r>
    </w:p>
    <w:p>
      <w:r>
        <w:t>Decisions: All compute runs under the pre-provisioned LabRole (no custom IAM roles/policies possible in Learner Lab). HF token stored in Secrets Manager, never in IaC state.</w:t>
      </w:r>
    </w:p>
    <w:p>
      <w:r>
        <w:t>Trade-off: in production we would scope a least-privilege IAM role per Lambda and use Bedrock with a resource-level policy; Learner Lab denies iam:CreateRole and blocks Bedrock entirely, forcing a shared LabRole and an external LLM API.</w:t>
      </w:r>
    </w:p>
    <w:p>
      <w:pPr>
        <w:pStyle w:val="Heading1"/>
      </w:pPr>
      <w:r>
        <w:t>Reliability</w:t>
      </w:r>
    </w:p>
    <w:p>
      <w:r>
        <w:t>Decisions: Step Functions retries/DLQ semantics decouple ingest from processing; DynamoDB on-demand capacity; S3 durability (11 nines).</w:t>
      </w:r>
    </w:p>
    <w:p>
      <w:r>
        <w:t>Trade-off: TODO</w:t>
      </w:r>
    </w:p>
    <w:p>
      <w:pPr>
        <w:pStyle w:val="Heading1"/>
      </w:pPr>
      <w:r>
        <w:t>Performance Efficiency</w:t>
      </w:r>
    </w:p>
    <w:p>
      <w:r>
        <w:t>Decisions: Serverless compute (Lambda) scales automatically with load; DynamoDB on-demand avoids capacity planning.</w:t>
      </w:r>
    </w:p>
    <w:p>
      <w:r>
        <w:t>Trade-off: TODO (e.g. cold starts vs provisioned concurrency cost)</w:t>
      </w:r>
    </w:p>
    <w:p>
      <w:pPr>
        <w:pStyle w:val="Heading1"/>
      </w:pPr>
      <w:r>
        <w:t>Cost Optimization</w:t>
      </w:r>
    </w:p>
    <w:p>
      <w:r>
        <w:t>Decisions: Pay-per-use services throughout (Lambda, API Gateway HTTP API, DynamoDB on-demand, S3) avoid idle infrastructure cost.</w:t>
      </w:r>
    </w:p>
    <w:p>
      <w:r>
        <w:t>Trade-off: TODO (e.g. HF Inference API per-call cost vs self-hosted model)</w:t>
      </w:r>
    </w:p>
    <w:p>
      <w:pPr>
        <w:pStyle w:val="Heading1"/>
      </w:pPr>
      <w:r>
        <w:t>Sustainability</w:t>
      </w:r>
    </w:p>
    <w:p>
      <w:r>
        <w:t>Decisions: Serverless/managed services shift infrastructure efficiency responsibility to AWS; no idle EC2/always-on servers.</w:t>
      </w:r>
    </w:p>
    <w:p>
      <w:r>
        <w:t>Trade-off: TODO</w:t>
      </w:r>
    </w:p>
    <w:p>
      <w:r>
        <w:rPr>
          <w:i/>
          <w:color w:val="993300"/>
        </w:rPr>
        <w:t>TODO: Fill remaining trade-off placeholders. Each pillar needs at least one concrete trade-off with specific AWS services cited (rubric: 24 pts, all 6 pillars).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