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Confidentiality. Each party shall keep the other party's Confidential Information strictly confidential and shall not disclose it to any third party.</w:t>
      </w:r>
    </w:p>
    <w:p>
      <w:r>
        <w:t>2. Term. This Agreement commences on the Effective Date and continues for twelve (12) months unless terminated earlier in accordance with its terms.</w:t>
      </w:r>
    </w:p>
    <w:p>
      <w:r>
        <w:t>3. Governing Law. This Agreement shall be governed by and construed in accordance with the laws of Singapore.</w:t>
      </w:r>
    </w:p>
    <w:p>
      <w:r>
        <w:t>4. Assignment. Neither party may assign this Agreement without the prior written consent of the other party.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