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 Governing Law. This Agreement shall be governed by and construed in accordance with the laws of Singapore.</w:t>
      </w:r>
    </w:p>
    <w:p>
      <w:r>
        <w:t>1. Confidentiality. Neither party shall disclose the other's Confidential Information to any third party and shall keep it strictly secret.</w:t>
      </w:r>
    </w:p>
    <w:p>
      <w:r>
        <w:t>2. Term. This Agreement commences on the Effective Date and continues for twenty-four (24) months unless terminated earlier in accordance with its terms.</w:t>
      </w:r>
    </w:p>
    <w:p>
      <w:r>
        <w:t>5. Indemnification. Each party shall indemnify the other against losses arising from its breach of this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