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 Governing Law. This Agreement shall be governed by the laws of Singapore.</w:t>
      </w:r>
    </w:p>
    <w:p>
      <w:r>
        <w:t>1. Scope of Services. The Provider shall perform the services described in the attached Statement of Work.</w:t>
      </w:r>
    </w:p>
    <w:p>
      <w:r>
        <w:t>2. Fees. The Client shall pay the Provider a fee of fifteen thousand dollars ($15,000) for the services.</w:t>
      </w:r>
    </w:p>
    <w:p>
      <w:r>
        <w:t>3. Payment Terms. The Client shall pay each invoice within forty-five (45) days of the invoice date.</w:t>
      </w:r>
    </w:p>
    <w:p>
      <w:r>
        <w:t>4. Limitation of Liability. Neither party shall be liable for any indirect or consequential damages, and the Provider's aggregate liability shall not exceed two times the total fees paid under this Agreement.</w:t>
      </w:r>
    </w:p>
    <w:p>
      <w:r>
        <w:t>7. Termination. Either party may terminate this Agreement for convenience on thirty (30)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