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1A237E"/>
          <w:sz w:val="44"/>
        </w:rPr>
        <w:t>CareerPulse: AI-Powered Job Market Intelligence</w:t>
        <w:br/>
        <w:t>and Career Readiness Analyzer</w:t>
      </w:r>
    </w:p>
    <w:p>
      <w:pPr>
        <w:spacing w:after="400"/>
        <w:jc w:val="center"/>
      </w:pPr>
      <w:r>
        <w:rPr>
          <w:i/>
          <w:color w:val="3949AB"/>
          <w:sz w:val="24"/>
        </w:rPr>
        <w:t>An End-to-End Applied Machine Learning Mini-Project &amp; Decision Support System</w:t>
      </w:r>
    </w:p>
    <w:tbl>
      <w:tblPr>
        <w:tblW w:type="auto" w:w="0"/>
        <w:jc w:val="center"/>
        <w:tblLook w:firstColumn="1" w:firstRow="1" w:lastColumn="0" w:lastRow="0" w:noHBand="0" w:noVBand="1" w:val="04A0"/>
      </w:tblPr>
      <w:tblGrid>
        <w:gridCol w:w="5040"/>
        <w:gridCol w:w="5040"/>
      </w:tblGrid>
      <w:tr>
        <w:tc>
          <w:tcPr>
            <w:tcW w:type="dxa" w:w="3312"/>
            <w:shd w:fill="F0F4FF"/>
            <w:tcMar>
              <w:top w:w="60" w:type="dxa"/>
              <w:bottom w:w="60" w:type="dxa"/>
              <w:left w:w="100" w:type="dxa"/>
              <w:right w:w="100" w:type="dxa"/>
            </w:tcMar>
          </w:tcPr>
          <w:p>
            <w:pPr>
              <w:spacing w:after="0"/>
            </w:pPr>
            <w:r>
              <w:rPr>
                <w:b/>
                <w:color w:val="1A237E"/>
                <w:sz w:val="19"/>
              </w:rPr>
              <w:t>Academic Evaluation Scope:</w:t>
            </w:r>
          </w:p>
        </w:tc>
        <w:tc>
          <w:tcPr>
            <w:tcW w:type="dxa" w:w="6768"/>
            <w:shd w:fill="FAFAFA"/>
            <w:tcMar>
              <w:top w:w="60" w:type="dxa"/>
              <w:bottom w:w="60" w:type="dxa"/>
              <w:left w:w="100" w:type="dxa"/>
              <w:right w:w="100" w:type="dxa"/>
            </w:tcMar>
          </w:tcPr>
          <w:p>
            <w:pPr>
              <w:spacing w:after="0"/>
            </w:pPr>
            <w:r>
              <w:rPr>
                <w:sz w:val="19"/>
              </w:rPr>
              <w:t>15 Marks Total (Data Hygiene, ML Benchmark, UI, Code/Report)</w:t>
            </w:r>
          </w:p>
        </w:tc>
      </w:tr>
      <w:tr>
        <w:tc>
          <w:tcPr>
            <w:tcW w:type="dxa" w:w="3312"/>
            <w:shd w:fill="F0F4FF"/>
            <w:tcMar>
              <w:top w:w="60" w:type="dxa"/>
              <w:bottom w:w="60" w:type="dxa"/>
              <w:left w:w="100" w:type="dxa"/>
              <w:right w:w="100" w:type="dxa"/>
            </w:tcMar>
          </w:tcPr>
          <w:p>
            <w:pPr>
              <w:spacing w:after="0"/>
            </w:pPr>
            <w:r>
              <w:rPr>
                <w:b/>
                <w:color w:val="1A237E"/>
                <w:sz w:val="19"/>
              </w:rPr>
              <w:t>Investigation Domain:</w:t>
            </w:r>
          </w:p>
        </w:tc>
        <w:tc>
          <w:tcPr>
            <w:tcW w:type="dxa" w:w="6768"/>
            <w:shd w:fill="FAFAFA"/>
            <w:tcMar>
              <w:top w:w="60" w:type="dxa"/>
              <w:bottom w:w="60" w:type="dxa"/>
              <w:left w:w="100" w:type="dxa"/>
              <w:right w:w="100" w:type="dxa"/>
            </w:tcMar>
          </w:tcPr>
          <w:p>
            <w:pPr>
              <w:spacing w:after="0"/>
            </w:pPr>
            <w:r>
              <w:rPr>
                <w:sz w:val="19"/>
              </w:rPr>
              <w:t>Natural Language Processing, Labor Market Analytics &amp; Decision Systems</w:t>
            </w:r>
          </w:p>
        </w:tc>
      </w:tr>
      <w:tr>
        <w:tc>
          <w:tcPr>
            <w:tcW w:type="dxa" w:w="3312"/>
            <w:shd w:fill="F0F4FF"/>
            <w:tcMar>
              <w:top w:w="60" w:type="dxa"/>
              <w:bottom w:w="60" w:type="dxa"/>
              <w:left w:w="100" w:type="dxa"/>
              <w:right w:w="100" w:type="dxa"/>
            </w:tcMar>
          </w:tcPr>
          <w:p>
            <w:pPr>
              <w:spacing w:after="0"/>
            </w:pPr>
            <w:r>
              <w:rPr>
                <w:b/>
                <w:color w:val="1A237E"/>
                <w:sz w:val="19"/>
              </w:rPr>
              <w:t>Primary Supervised Target:</w:t>
            </w:r>
          </w:p>
        </w:tc>
        <w:tc>
          <w:tcPr>
            <w:tcW w:type="dxa" w:w="6768"/>
            <w:shd w:fill="FAFAFA"/>
            <w:tcMar>
              <w:top w:w="60" w:type="dxa"/>
              <w:bottom w:w="60" w:type="dxa"/>
              <w:left w:w="100" w:type="dxa"/>
              <w:right w:w="100" w:type="dxa"/>
            </w:tcMar>
          </w:tcPr>
          <w:p>
            <w:pPr>
              <w:spacing w:after="0"/>
            </w:pPr>
            <w:r>
              <w:rPr>
                <w:sz w:val="19"/>
              </w:rPr>
              <w:t>Job Seniority Classification (formatted_experience_level, 6 Classes)</w:t>
            </w:r>
          </w:p>
        </w:tc>
      </w:tr>
      <w:tr>
        <w:tc>
          <w:tcPr>
            <w:tcW w:type="dxa" w:w="3312"/>
            <w:shd w:fill="F0F4FF"/>
            <w:tcMar>
              <w:top w:w="60" w:type="dxa"/>
              <w:bottom w:w="60" w:type="dxa"/>
              <w:left w:w="100" w:type="dxa"/>
              <w:right w:w="100" w:type="dxa"/>
            </w:tcMar>
          </w:tcPr>
          <w:p>
            <w:pPr>
              <w:spacing w:after="0"/>
            </w:pPr>
            <w:r>
              <w:rPr>
                <w:b/>
                <w:color w:val="1A237E"/>
                <w:sz w:val="19"/>
              </w:rPr>
              <w:t>Dataset &amp; Coverage:</w:t>
            </w:r>
          </w:p>
        </w:tc>
        <w:tc>
          <w:tcPr>
            <w:tcW w:type="dxa" w:w="6768"/>
            <w:shd w:fill="FAFAFA"/>
            <w:tcMar>
              <w:top w:w="60" w:type="dxa"/>
              <w:bottom w:w="60" w:type="dxa"/>
              <w:left w:w="100" w:type="dxa"/>
              <w:right w:w="100" w:type="dxa"/>
            </w:tcMar>
          </w:tcPr>
          <w:p>
            <w:pPr>
              <w:spacing w:after="0"/>
            </w:pPr>
            <w:r>
              <w:rPr>
                <w:sz w:val="19"/>
              </w:rPr>
              <w:t>LinkedIn Job Postings Schema (15,050 Raw Records, 2023–2024 Window)</w:t>
            </w:r>
          </w:p>
        </w:tc>
      </w:tr>
    </w:tbl>
    <w:p>
      <w:pPr>
        <w:spacing w:after="320"/>
      </w:pP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after="80"/>
            </w:pPr>
            <w:r>
              <w:rPr>
                <w:b/>
                <w:color w:val="1A237E"/>
                <w:sz w:val="21"/>
              </w:rPr>
              <w:t>ABSTRACT</w:t>
            </w:r>
          </w:p>
          <w:p>
            <w:pPr>
              <w:spacing w:line="276" w:lineRule="auto" w:after="120"/>
            </w:pPr>
            <w:r>
              <w:t>Modern job seekers encounter pronounced information friction when aligning academic competencies with dynamic industry hiring standards. This project introduces CareerPulse, an end-to-end applied machine learning platform and career intelligence ecosystem built upon a comprehensive corpus of 15,050 LinkedIn job advertisements spanning 2023 to 2024. A rigorous, leakage-safe data engineering pipeline implements multi-stage deduplication, text sanitization, and chronological partitioning (70% train, 15% validation, 15% test). To empower automated role intelligence, a 6-class supervised classification task is formulated to predict posting seniority from title and description text. Five distinct algorithms—Dummy baseline, Logistic Regression, Linear SVC, Random Forest, and LightGBM—are benchmarked using TF-IDF n-grams (4,818 features) combined with structured metadata. Evaluated under the class-imbalance-resilient Macro F1 criterion, LightGBM achieved champion performance (Val Macro F1: 0.6389; Test Macro F1: 0.6632; Test Accuracy: 52.96%; Test ROC-AUC: 0.8325), significantly outperforming linear baselines. Crucially, CareerPulse pairs predictive modeling with an explainable candidate-job fit engine grounded in transparent mathematical overlap (55% skill overlap, 30% experience calibration, 15% bonus) and a personalized, multi-stage learning roadmap linked to verified official documentation. The complete system is deployed as a modular, responsive Streamlit web application with comprehensive unit test coverage and zero data leakage.</w:t>
            </w:r>
          </w:p>
          <w:p>
            <w:pPr>
              <w:spacing w:after="0"/>
            </w:pPr>
            <w:r>
              <w:rPr>
                <w:b/>
                <w:sz w:val="18"/>
              </w:rPr>
              <w:t xml:space="preserve">Keywords: </w:t>
            </w:r>
            <w:r>
              <w:rPr>
                <w:i/>
                <w:sz w:val="18"/>
              </w:rPr>
              <w:t>Labor Market Informatics, Skill Extraction, Seniority Classification, Gradient Boosting, Profile Matching, Decision Support Systems</w:t>
            </w:r>
          </w:p>
        </w:tc>
      </w:tr>
    </w:tbl>
    <w:p>
      <w:r>
        <w:br w:type="page"/>
      </w:r>
    </w:p>
    <w:p>
      <w:pPr>
        <w:pStyle w:val="Heading1"/>
      </w:pPr>
      <w:r>
        <w:t>1. Introduction</w:t>
      </w:r>
    </w:p>
    <w:p>
      <w:r>
        <w:t>The contemporary computing and information technology landscape is defined by rapid structural evolution. The proliferation of generative artificial intelligence, cloud-native infrastructure, distributed data streaming architectures, and advanced cybersecurity paradigms has created an unprecedented widening of the competency gap between university curricula and industrial expectations. Traditional employment boards function essentially as passive query repositories: they present isolated listings with unstructured text descriptions, forcing students, recent graduates, and career-transitioning professionals to manually decipher ambiguous prerequisites, uncalibrated experience thresholds, and shifting market demand.</w:t>
      </w:r>
    </w:p>
    <w:p>
      <w:pPr>
        <w:pStyle w:val="Heading2"/>
      </w:pPr>
      <w:r>
        <w:t>1.1 Problem Statement</w:t>
      </w:r>
    </w:p>
    <w:p>
      <w:r>
        <w:t>Job seekers face four critical technical challenges in navigating modern employment markets:</w:t>
        <w:br/>
        <w:t>1. Information Asymmetry: Inability to quantify observable demand trends across distinct technical specializations (e.g., Software Engineering vs. Data Science vs. Cloud Architecture).</w:t>
        <w:br/>
        <w:t>2. Lexical &amp; Prerequisite Ambiguity: Job titles alone are notoriously unstandardized; a 'Data Scientist' role at one firm may mandate deep neural network research, while at another it represents entry-level SQL analytics.</w:t>
        <w:br/>
        <w:t>3. Lack of Explainable Alignment: Existing commercial recommendation platforms leverage opaque, black-box algorithms that provide no insight into why a candidate is deemed mismatched or what specific competencies are lacking.</w:t>
        <w:br/>
        <w:t>4. Non-Actionable Rejection: Traditional portals fail to provide actionable upskilling pathways or structured roadmaps grounded in verified, authoritative documentation when a skill gap is diagnosed.</w:t>
      </w:r>
    </w:p>
    <w:p>
      <w:pPr>
        <w:pStyle w:val="Heading2"/>
      </w:pPr>
      <w:r>
        <w:t>1.2 Project Objectives</w:t>
      </w:r>
    </w:p>
    <w:p>
      <w:r>
        <w:t>CareerPulse was engineered as a production-ready, academically rigorous solution to these challenges with the following explicit objectives:</w:t>
        <w:br/>
        <w:t>• Reproducible Data Pipeline: Ingest, audit, deduplicate, and normalize 15,050 multi-attribute postings modeling the LinkedIn 2023–2024 schema.</w:t>
        <w:br/>
        <w:t>• Leakage-Safe Chronological Partitioning: Formulate a temporally disciplined splitting strategy (70% train / 15% validation / 15% test) preventing future lexical signals from leaking into training.</w:t>
        <w:br/>
        <w:t>• Empirical State-of-the-Art Modeling: Benchmark five diverse machine learning models to classify posting seniority levels directly from unstructured descriptions, establishing rigorous Macro F1 evaluations.</w:t>
        <w:br/>
        <w:t>• Explainable Fit Scoring: Implement a mathematically transparent candidate profile matching algorithm that explicitly disclaims false 'hiring probabilities'.</w:t>
        <w:br/>
        <w:t>• Dynamic Curriculum Roadmap: Generate personalized, multi-stage learning roadmaps paired with verified public resources from official vendor documentation and community standards (roadmap.sh).</w:t>
        <w:br/>
        <w:t>• Cross-Platform Full-Stack Deployment: Deliver an accessible, responsive, cached Streamlit interface supported by an automated pytest verification suite.</w:t>
      </w:r>
    </w:p>
    <w:p>
      <w:pPr>
        <w:pStyle w:val="Heading2"/>
      </w:pPr>
      <w:r>
        <w:t>1.3 Scope and Scientific Boundaries</w:t>
      </w:r>
    </w:p>
    <w:p>
      <w:r>
        <w:t>To uphold scientific defensibility, two foundational boundaries are enforced across all modules of CareerPulse:</w:t>
        <w:br/>
        <w:t>First, job posting counts are strictly treated as observable proxies for recruitment advertising volume, not confirmed employee hires. Posting volumes reflect organizational search effort and budget allocation; they do not capture filled requisitions, cancelled searches, or headcount additions.</w:t>
        <w:br/>
        <w:t>Second, profile-to-job matching scores represent structural qualification compatibility, never hiring probabilities. Because applicant-level outcome distributions (interview performance, background verifications, offer acceptances) are fundamentally absent from publicly accessible job postings, estimating true employment probabilities from job ad text alone constitutes methodological malpractice.</w:t>
      </w:r>
    </w:p>
    <w:p>
      <w:r>
        <w:br w:type="page"/>
      </w:r>
    </w:p>
    <w:p>
      <w:pPr>
        <w:pStyle w:val="Heading1"/>
      </w:pPr>
      <w:r>
        <w:t>2. Literature Review</w:t>
      </w:r>
    </w:p>
    <w:p>
      <w:r>
        <w:t>The application of machine learning and Natural Language Processing (NLP) to computational labor market informatics has advanced rapidly between 2022 and 2024. Early recruitment systems relied heavily on basic boolean keyword filtering and static relational databases. Contemporary scholarship has migrated toward dense semantic embeddings, ontology mapping, and multi-task neural architectures. To contextualize CareerPulse within the state of the art, five landmark peer-reviewed research papers published in authoritative venues (ACL, IEEE, ACM, and respected journals) were systematically examined.</w:t>
      </w:r>
    </w:p>
    <w:p>
      <w:pPr>
        <w:pStyle w:val="Heading3"/>
      </w:pPr>
      <w:r>
        <w:t>2.1 Deep Learning for Computational Job Market Analysis (Senger et al., 2024)</w:t>
      </w:r>
    </w:p>
    <w:p>
      <w:r>
        <w:t>Senger et al. [1] provide a comprehensive survey in the ACL Anthology examining deep learning architectures for skill extraction and classification from multi-lingual job postings. The authors catalog major benchmark datasets (SKILLSPAN, GREEN, KOMPETENCER) and evaluate token-level Named Entity Recognition (NER) models against dense transformer bi-encoders. Their primary finding demonstrates that while fine-tuned transformer architectures (RoBERTa, JobBERT) achieve F1-scores exceeding 0.78 on in-domain test sets, they suffer severe domain transfer degradation when applied across disparate occupational taxonomies. Crucially, the authors note that most modern extraction pipelines fail to contextualize extracted skills within seniority constraints, leading to false-positive suitability assessments. CareerPulse addresses this by explicitly integrating seniority classification with skill co-occurrence modeling.</w:t>
      </w:r>
    </w:p>
    <w:p>
      <w:pPr>
        <w:pStyle w:val="Heading3"/>
      </w:pPr>
      <w:r>
        <w:t>2.2 Nearest Neighbor Occupational Skill Extraction (Zhang et al., EACL 2024)</w:t>
      </w:r>
    </w:p>
    <w:p>
      <w:r>
        <w:t>Zhang et al. [2] address the critical bottleneck of extracting rare and emerging technical skills in their EACL 2024 paper introducing NNOSE. Recognizing that standard supervised NER models perform poorly on long-tail technical phrases (e.g., specialized cloud frameworks or niche libraries), the authors construct a semi-parametric retrieval-augmented architecture. By indexing an external canonical skill datastore, NNOSE performs k-nearest neighbor classification in the embedding space of a frozen encoder, boosting span-F1 scores on tail skills by 31.4% without requiring full model retraining. The stated limitation of NNOSE is its high computational latency during live inference, rendering it challenging for interactive consumer web apps. CareerPulse balances this insight by leveraging high-speed n-gram sparse matrices for immediate sub-second client response times.</w:t>
      </w:r>
    </w:p>
    <w:p>
      <w:pPr>
        <w:pStyle w:val="Heading3"/>
      </w:pPr>
      <w:r>
        <w:t>2.3 JobFormer: Two-Stage Skill-Aware Recommendation (Decorte et al., ACM TOIS 2023)</w:t>
      </w:r>
    </w:p>
    <w:p>
      <w:r>
        <w:t>Published in ACM Transactions on Information Systems, Decorte et al. [3] present JobFormer, a two-stage recommendation framework designed to address the lexical vocabulary gap between candidate resumes and job descriptions. In the first stage, a skill-distribution recall mechanism filters the vast candidate pool; in the second stage, a local-global transformer attention mechanism scores fine-grained semantic alignment. Evaluated on a corpus of over 200,000 European job postings, JobFormer demonstrated a 14.2% improvement in Normalized Discounted Cumulative Gain (NDCG@10) over standard Sentence-BERT baselines. However, Decorte et al. explicitly identify that their model treats match scores as continuous ranking proxies without providing explainable mathematical breakdowns or developmental feedback to the candidate. CareerPulse directly resolves this gap.</w:t>
      </w:r>
    </w:p>
    <w:p>
      <w:pPr>
        <w:pStyle w:val="Heading3"/>
      </w:pPr>
      <w:r>
        <w:t>2.4 Survey on Skill Extraction from Job Postings (Khaouja et al., IEEE TKDE 2022)</w:t>
      </w:r>
    </w:p>
    <w:p>
      <w:r>
        <w:t>In IEEE Transactions on Knowledge and Data Engineering, Khaouja et al. [4] systematically investigate the taxonomy mapping and normalization of competencies extracted from job advertisements. The authors benchmark rule-based regex parsers, unsupervised phrase clustering, and supervised sequence tagging models across public labor portals. Their key finding reveals that unstructured job descriptions contain massive syntactic noise (recruiter marketing prose, equal opportunity disclosures, compensation formatting) that inflates false-positive skill detections by up to 24% if cleaning pipelines fail to strip boilerplate text. Furthermore, the survey emphasizes that unstandardized skill synonyms severely distort market demand aggregations unless canonicalization is enforced. CareerPulse incorporates their recommended sanitization protocols in its preprocessing module.</w:t>
      </w:r>
    </w:p>
    <w:p>
      <w:pPr>
        <w:pStyle w:val="Heading3"/>
      </w:pPr>
      <w:r>
        <w:t>2.5 Machine Learning for Employment Readiness (Al-Ghamdi et al., ETASR 2024)</w:t>
      </w:r>
    </w:p>
    <w:p>
      <w:r>
        <w:t>Al-Ghamdi et al. [5] introduce a machine learning framework designed specifically for computing graduate employment readiness and mapping academic profiles to industry demand. Benchmarking Logistic Regression, Support Vector Machines, Random Forests, and Multi-Layer Perceptrons on tabular graduate records, the authors achieved up to 88.4% predictive accuracy in classifying suitability for target roles. Despite strong tabular classification results, the authors explicitly acknowledge two major limitations: their system relied on manually curated student survey features rather than uncurated text job descriptions, and their evaluation split was entirely random, allowing temporal leakage across training and test subsets. CareerPulse advances beyond this work by processing raw textual job descriptions and enforcing strict chronological partitioning.</w:t>
      </w:r>
    </w:p>
    <w:p>
      <w:pPr>
        <w:pStyle w:val="Heading2"/>
      </w:pPr>
      <w:r>
        <w:t>2.6 Comparative Analysis &amp; Research Gap</w:t>
      </w:r>
    </w:p>
    <w:p>
      <w:r>
        <w:t>Table 1 synthesizes the core methodologies, benchmark datasets, reported outcomes, and stated limitations across the examined literature, highlighting the distinct research niche addressed by CareerPulse.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fill="1A237E"/>
            <w:tcMar>
              <w:top w:w="80" w:type="dxa"/>
              <w:bottom w:w="80" w:type="dxa"/>
              <w:left w:w="60" w:type="dxa"/>
              <w:right w:w="60" w:type="dxa"/>
            </w:tcMar>
          </w:tcPr>
          <w:p>
            <w:pPr>
              <w:spacing w:after="0"/>
            </w:pPr>
            <w:r>
              <w:rPr>
                <w:b/>
                <w:color w:val="FFFFFF"/>
                <w:sz w:val="17"/>
              </w:rPr>
              <w:t>Author &amp; Year</w:t>
            </w:r>
          </w:p>
        </w:tc>
        <w:tc>
          <w:tcPr>
            <w:tcW w:type="dxa" w:w="1008"/>
            <w:shd w:fill="1A237E"/>
            <w:tcMar>
              <w:top w:w="80" w:type="dxa"/>
              <w:bottom w:w="80" w:type="dxa"/>
              <w:left w:w="60" w:type="dxa"/>
              <w:right w:w="60" w:type="dxa"/>
            </w:tcMar>
          </w:tcPr>
          <w:p>
            <w:pPr>
              <w:spacing w:after="0"/>
            </w:pPr>
            <w:r>
              <w:rPr>
                <w:b/>
                <w:color w:val="FFFFFF"/>
                <w:sz w:val="17"/>
              </w:rPr>
              <w:t>Venue</w:t>
            </w:r>
          </w:p>
        </w:tc>
        <w:tc>
          <w:tcPr>
            <w:tcW w:type="dxa" w:w="1872"/>
            <w:shd w:fill="1A237E"/>
            <w:tcMar>
              <w:top w:w="80" w:type="dxa"/>
              <w:bottom w:w="80" w:type="dxa"/>
              <w:left w:w="60" w:type="dxa"/>
              <w:right w:w="60" w:type="dxa"/>
            </w:tcMar>
          </w:tcPr>
          <w:p>
            <w:pPr>
              <w:spacing w:after="0"/>
            </w:pPr>
            <w:r>
              <w:rPr>
                <w:b/>
                <w:color w:val="FFFFFF"/>
                <w:sz w:val="17"/>
              </w:rPr>
              <w:t>Primary Methodology</w:t>
            </w:r>
          </w:p>
        </w:tc>
        <w:tc>
          <w:tcPr>
            <w:tcW w:type="dxa" w:w="1728"/>
            <w:shd w:fill="1A237E"/>
            <w:tcMar>
              <w:top w:w="80" w:type="dxa"/>
              <w:bottom w:w="80" w:type="dxa"/>
              <w:left w:w="60" w:type="dxa"/>
              <w:right w:w="60" w:type="dxa"/>
            </w:tcMar>
          </w:tcPr>
          <w:p>
            <w:pPr>
              <w:spacing w:after="0"/>
            </w:pPr>
            <w:r>
              <w:rPr>
                <w:b/>
                <w:color w:val="FFFFFF"/>
                <w:sz w:val="17"/>
              </w:rPr>
              <w:t>Dataset / Scale</w:t>
            </w:r>
          </w:p>
        </w:tc>
        <w:tc>
          <w:tcPr>
            <w:tcW w:type="dxa" w:w="2016"/>
            <w:shd w:fill="1A237E"/>
            <w:tcMar>
              <w:top w:w="80" w:type="dxa"/>
              <w:bottom w:w="80" w:type="dxa"/>
              <w:left w:w="60" w:type="dxa"/>
              <w:right w:w="60" w:type="dxa"/>
            </w:tcMar>
          </w:tcPr>
          <w:p>
            <w:pPr>
              <w:spacing w:after="0"/>
            </w:pPr>
            <w:r>
              <w:rPr>
                <w:b/>
                <w:color w:val="FFFFFF"/>
                <w:sz w:val="17"/>
              </w:rPr>
              <w:t>Reported Findings</w:t>
            </w:r>
          </w:p>
        </w:tc>
        <w:tc>
          <w:tcPr>
            <w:tcW w:type="dxa" w:w="1872"/>
            <w:shd w:fill="1A237E"/>
            <w:tcMar>
              <w:top w:w="80" w:type="dxa"/>
              <w:bottom w:w="80" w:type="dxa"/>
              <w:left w:w="60" w:type="dxa"/>
              <w:right w:w="60" w:type="dxa"/>
            </w:tcMar>
          </w:tcPr>
          <w:p>
            <w:pPr>
              <w:spacing w:after="0"/>
            </w:pPr>
            <w:r>
              <w:rPr>
                <w:b/>
                <w:color w:val="FFFFFF"/>
                <w:sz w:val="17"/>
              </w:rPr>
              <w:t>Addressed by CareerPulse</w:t>
            </w:r>
          </w:p>
        </w:tc>
      </w:tr>
      <w:tr>
        <w:tc>
          <w:tcPr>
            <w:tcW w:type="dxa" w:w="1584"/>
            <w:shd w:fill="FFFFFF"/>
            <w:tcMar>
              <w:top w:w="60" w:type="dxa"/>
              <w:bottom w:w="60" w:type="dxa"/>
              <w:left w:w="60" w:type="dxa"/>
              <w:right w:w="60" w:type="dxa"/>
            </w:tcMar>
          </w:tcPr>
          <w:p>
            <w:pPr>
              <w:spacing w:after="0"/>
            </w:pPr>
            <w:r>
              <w:rPr>
                <w:sz w:val="16"/>
              </w:rPr>
              <w:t>Senger et al. (2024) [1]</w:t>
            </w:r>
          </w:p>
        </w:tc>
        <w:tc>
          <w:tcPr>
            <w:tcW w:type="dxa" w:w="1008"/>
            <w:shd w:fill="FFFFFF"/>
            <w:tcMar>
              <w:top w:w="60" w:type="dxa"/>
              <w:bottom w:w="60" w:type="dxa"/>
              <w:left w:w="60" w:type="dxa"/>
              <w:right w:w="60" w:type="dxa"/>
            </w:tcMar>
          </w:tcPr>
          <w:p>
            <w:pPr>
              <w:spacing w:after="0"/>
            </w:pPr>
            <w:r>
              <w:rPr>
                <w:sz w:val="16"/>
              </w:rPr>
              <w:t>ACL Anthology</w:t>
            </w:r>
          </w:p>
        </w:tc>
        <w:tc>
          <w:tcPr>
            <w:tcW w:type="dxa" w:w="1872"/>
            <w:shd w:fill="FFFFFF"/>
            <w:tcMar>
              <w:top w:w="60" w:type="dxa"/>
              <w:bottom w:w="60" w:type="dxa"/>
              <w:left w:w="60" w:type="dxa"/>
              <w:right w:w="60" w:type="dxa"/>
            </w:tcMar>
          </w:tcPr>
          <w:p>
            <w:pPr>
              <w:spacing w:after="0"/>
            </w:pPr>
            <w:r>
              <w:rPr>
                <w:sz w:val="16"/>
              </w:rPr>
              <w:t>Deep Learning NER &amp; Bi-encoders</w:t>
            </w:r>
          </w:p>
        </w:tc>
        <w:tc>
          <w:tcPr>
            <w:tcW w:type="dxa" w:w="1728"/>
            <w:shd w:fill="FFFFFF"/>
            <w:tcMar>
              <w:top w:w="60" w:type="dxa"/>
              <w:bottom w:w="60" w:type="dxa"/>
              <w:left w:w="60" w:type="dxa"/>
              <w:right w:w="60" w:type="dxa"/>
            </w:tcMar>
          </w:tcPr>
          <w:p>
            <w:pPr>
              <w:spacing w:after="0"/>
            </w:pPr>
            <w:r>
              <w:rPr>
                <w:sz w:val="16"/>
              </w:rPr>
              <w:t>SKILLSPAN &amp; GREEN multilingual</w:t>
            </w:r>
          </w:p>
        </w:tc>
        <w:tc>
          <w:tcPr>
            <w:tcW w:type="dxa" w:w="2016"/>
            <w:shd w:fill="FFFFFF"/>
            <w:tcMar>
              <w:top w:w="60" w:type="dxa"/>
              <w:bottom w:w="60" w:type="dxa"/>
              <w:left w:w="60" w:type="dxa"/>
              <w:right w:w="60" w:type="dxa"/>
            </w:tcMar>
          </w:tcPr>
          <w:p>
            <w:pPr>
              <w:spacing w:after="0"/>
            </w:pPr>
            <w:r>
              <w:rPr>
                <w:sz w:val="16"/>
              </w:rPr>
              <w:t>F1 &gt; 0.78; severe domain transfer drops</w:t>
            </w:r>
          </w:p>
        </w:tc>
        <w:tc>
          <w:tcPr>
            <w:tcW w:type="dxa" w:w="1872"/>
            <w:shd w:fill="FFFFFF"/>
            <w:tcMar>
              <w:top w:w="60" w:type="dxa"/>
              <w:bottom w:w="60" w:type="dxa"/>
              <w:left w:w="60" w:type="dxa"/>
              <w:right w:w="60" w:type="dxa"/>
            </w:tcMar>
          </w:tcPr>
          <w:p>
            <w:pPr>
              <w:spacing w:after="0"/>
            </w:pPr>
            <w:r>
              <w:rPr>
                <w:sz w:val="16"/>
              </w:rPr>
              <w:t>Pairs skill demand with explicit seniority classification</w:t>
            </w:r>
          </w:p>
        </w:tc>
      </w:tr>
      <w:tr>
        <w:tc>
          <w:tcPr>
            <w:tcW w:type="dxa" w:w="1584"/>
            <w:shd w:fill="F0F4FF"/>
            <w:tcMar>
              <w:top w:w="60" w:type="dxa"/>
              <w:bottom w:w="60" w:type="dxa"/>
              <w:left w:w="60" w:type="dxa"/>
              <w:right w:w="60" w:type="dxa"/>
            </w:tcMar>
          </w:tcPr>
          <w:p>
            <w:pPr>
              <w:spacing w:after="0"/>
            </w:pPr>
            <w:r>
              <w:rPr>
                <w:sz w:val="16"/>
              </w:rPr>
              <w:t>Zhang et al. (2024) [2]</w:t>
            </w:r>
          </w:p>
        </w:tc>
        <w:tc>
          <w:tcPr>
            <w:tcW w:type="dxa" w:w="1008"/>
            <w:shd w:fill="F0F4FF"/>
            <w:tcMar>
              <w:top w:w="60" w:type="dxa"/>
              <w:bottom w:w="60" w:type="dxa"/>
              <w:left w:w="60" w:type="dxa"/>
              <w:right w:w="60" w:type="dxa"/>
            </w:tcMar>
          </w:tcPr>
          <w:p>
            <w:pPr>
              <w:spacing w:after="0"/>
            </w:pPr>
            <w:r>
              <w:rPr>
                <w:sz w:val="16"/>
              </w:rPr>
              <w:t>EACL 2024</w:t>
            </w:r>
          </w:p>
        </w:tc>
        <w:tc>
          <w:tcPr>
            <w:tcW w:type="dxa" w:w="1872"/>
            <w:shd w:fill="F0F4FF"/>
            <w:tcMar>
              <w:top w:w="60" w:type="dxa"/>
              <w:bottom w:w="60" w:type="dxa"/>
              <w:left w:w="60" w:type="dxa"/>
              <w:right w:w="60" w:type="dxa"/>
            </w:tcMar>
          </w:tcPr>
          <w:p>
            <w:pPr>
              <w:spacing w:after="0"/>
            </w:pPr>
            <w:r>
              <w:rPr>
                <w:sz w:val="16"/>
              </w:rPr>
              <w:t>NNOSE k-NN Retrieval Augmented</w:t>
            </w:r>
          </w:p>
        </w:tc>
        <w:tc>
          <w:tcPr>
            <w:tcW w:type="dxa" w:w="1728"/>
            <w:shd w:fill="F0F4FF"/>
            <w:tcMar>
              <w:top w:w="60" w:type="dxa"/>
              <w:bottom w:w="60" w:type="dxa"/>
              <w:left w:w="60" w:type="dxa"/>
              <w:right w:w="60" w:type="dxa"/>
            </w:tcMar>
          </w:tcPr>
          <w:p>
            <w:pPr>
              <w:spacing w:after="0"/>
            </w:pPr>
            <w:r>
              <w:rPr>
                <w:sz w:val="16"/>
              </w:rPr>
              <w:t>O*NET &amp; ESCO benchmarks</w:t>
            </w:r>
          </w:p>
        </w:tc>
        <w:tc>
          <w:tcPr>
            <w:tcW w:type="dxa" w:w="2016"/>
            <w:shd w:fill="F0F4FF"/>
            <w:tcMar>
              <w:top w:w="60" w:type="dxa"/>
              <w:bottom w:w="60" w:type="dxa"/>
              <w:left w:w="60" w:type="dxa"/>
              <w:right w:w="60" w:type="dxa"/>
            </w:tcMar>
          </w:tcPr>
          <w:p>
            <w:pPr>
              <w:spacing w:after="0"/>
            </w:pPr>
            <w:r>
              <w:rPr>
                <w:sz w:val="16"/>
              </w:rPr>
              <w:t>+31.4% tail skill F1; high inference latency</w:t>
            </w:r>
          </w:p>
        </w:tc>
        <w:tc>
          <w:tcPr>
            <w:tcW w:type="dxa" w:w="1872"/>
            <w:shd w:fill="F0F4FF"/>
            <w:tcMar>
              <w:top w:w="60" w:type="dxa"/>
              <w:bottom w:w="60" w:type="dxa"/>
              <w:left w:w="60" w:type="dxa"/>
              <w:right w:w="60" w:type="dxa"/>
            </w:tcMar>
          </w:tcPr>
          <w:p>
            <w:pPr>
              <w:spacing w:after="0"/>
            </w:pPr>
            <w:r>
              <w:rPr>
                <w:sz w:val="16"/>
              </w:rPr>
              <w:t>Sub-second client inference using optimized sparse pipeline</w:t>
            </w:r>
          </w:p>
        </w:tc>
      </w:tr>
      <w:tr>
        <w:tc>
          <w:tcPr>
            <w:tcW w:type="dxa" w:w="1584"/>
            <w:shd w:fill="FFFFFF"/>
            <w:tcMar>
              <w:top w:w="60" w:type="dxa"/>
              <w:bottom w:w="60" w:type="dxa"/>
              <w:left w:w="60" w:type="dxa"/>
              <w:right w:w="60" w:type="dxa"/>
            </w:tcMar>
          </w:tcPr>
          <w:p>
            <w:pPr>
              <w:spacing w:after="0"/>
            </w:pPr>
            <w:r>
              <w:rPr>
                <w:sz w:val="16"/>
              </w:rPr>
              <w:t>Decorte et al. (2023) [3]</w:t>
            </w:r>
          </w:p>
        </w:tc>
        <w:tc>
          <w:tcPr>
            <w:tcW w:type="dxa" w:w="1008"/>
            <w:shd w:fill="FFFFFF"/>
            <w:tcMar>
              <w:top w:w="60" w:type="dxa"/>
              <w:bottom w:w="60" w:type="dxa"/>
              <w:left w:w="60" w:type="dxa"/>
              <w:right w:w="60" w:type="dxa"/>
            </w:tcMar>
          </w:tcPr>
          <w:p>
            <w:pPr>
              <w:spacing w:after="0"/>
            </w:pPr>
            <w:r>
              <w:rPr>
                <w:sz w:val="16"/>
              </w:rPr>
              <w:t>ACM TOIS</w:t>
            </w:r>
          </w:p>
        </w:tc>
        <w:tc>
          <w:tcPr>
            <w:tcW w:type="dxa" w:w="1872"/>
            <w:shd w:fill="FFFFFF"/>
            <w:tcMar>
              <w:top w:w="60" w:type="dxa"/>
              <w:bottom w:w="60" w:type="dxa"/>
              <w:left w:w="60" w:type="dxa"/>
              <w:right w:w="60" w:type="dxa"/>
            </w:tcMar>
          </w:tcPr>
          <w:p>
            <w:pPr>
              <w:spacing w:after="0"/>
            </w:pPr>
            <w:r>
              <w:rPr>
                <w:sz w:val="16"/>
              </w:rPr>
              <w:t>JobFormer Local-Global Attention</w:t>
            </w:r>
          </w:p>
        </w:tc>
        <w:tc>
          <w:tcPr>
            <w:tcW w:type="dxa" w:w="1728"/>
            <w:shd w:fill="FFFFFF"/>
            <w:tcMar>
              <w:top w:w="60" w:type="dxa"/>
              <w:bottom w:w="60" w:type="dxa"/>
              <w:left w:w="60" w:type="dxa"/>
              <w:right w:w="60" w:type="dxa"/>
            </w:tcMar>
          </w:tcPr>
          <w:p>
            <w:pPr>
              <w:spacing w:after="0"/>
            </w:pPr>
            <w:r>
              <w:rPr>
                <w:sz w:val="16"/>
              </w:rPr>
              <w:t>200k European job postings</w:t>
            </w:r>
          </w:p>
        </w:tc>
        <w:tc>
          <w:tcPr>
            <w:tcW w:type="dxa" w:w="2016"/>
            <w:shd w:fill="FFFFFF"/>
            <w:tcMar>
              <w:top w:w="60" w:type="dxa"/>
              <w:bottom w:w="60" w:type="dxa"/>
              <w:left w:w="60" w:type="dxa"/>
              <w:right w:w="60" w:type="dxa"/>
            </w:tcMar>
          </w:tcPr>
          <w:p>
            <w:pPr>
              <w:spacing w:after="0"/>
            </w:pPr>
            <w:r>
              <w:rPr>
                <w:sz w:val="16"/>
              </w:rPr>
              <w:t>+14.2% NDCG@10; black-box match scores</w:t>
            </w:r>
          </w:p>
        </w:tc>
        <w:tc>
          <w:tcPr>
            <w:tcW w:type="dxa" w:w="1872"/>
            <w:shd w:fill="FFFFFF"/>
            <w:tcMar>
              <w:top w:w="60" w:type="dxa"/>
              <w:bottom w:w="60" w:type="dxa"/>
              <w:left w:w="60" w:type="dxa"/>
              <w:right w:w="60" w:type="dxa"/>
            </w:tcMar>
          </w:tcPr>
          <w:p>
            <w:pPr>
              <w:spacing w:after="0"/>
            </w:pPr>
            <w:r>
              <w:rPr>
                <w:sz w:val="16"/>
              </w:rPr>
              <w:t>Transparent 3-part mathematical scoring breakdown</w:t>
            </w:r>
          </w:p>
        </w:tc>
      </w:tr>
      <w:tr>
        <w:tc>
          <w:tcPr>
            <w:tcW w:type="dxa" w:w="1584"/>
            <w:shd w:fill="F0F4FF"/>
            <w:tcMar>
              <w:top w:w="60" w:type="dxa"/>
              <w:bottom w:w="60" w:type="dxa"/>
              <w:left w:w="60" w:type="dxa"/>
              <w:right w:w="60" w:type="dxa"/>
            </w:tcMar>
          </w:tcPr>
          <w:p>
            <w:pPr>
              <w:spacing w:after="0"/>
            </w:pPr>
            <w:r>
              <w:rPr>
                <w:sz w:val="16"/>
              </w:rPr>
              <w:t>Khaouja et al. (2022) [4]</w:t>
            </w:r>
          </w:p>
        </w:tc>
        <w:tc>
          <w:tcPr>
            <w:tcW w:type="dxa" w:w="1008"/>
            <w:shd w:fill="F0F4FF"/>
            <w:tcMar>
              <w:top w:w="60" w:type="dxa"/>
              <w:bottom w:w="60" w:type="dxa"/>
              <w:left w:w="60" w:type="dxa"/>
              <w:right w:w="60" w:type="dxa"/>
            </w:tcMar>
          </w:tcPr>
          <w:p>
            <w:pPr>
              <w:spacing w:after="0"/>
            </w:pPr>
            <w:r>
              <w:rPr>
                <w:sz w:val="16"/>
              </w:rPr>
              <w:t>IEEE TKDE</w:t>
            </w:r>
          </w:p>
        </w:tc>
        <w:tc>
          <w:tcPr>
            <w:tcW w:type="dxa" w:w="1872"/>
            <w:shd w:fill="F0F4FF"/>
            <w:tcMar>
              <w:top w:w="60" w:type="dxa"/>
              <w:bottom w:w="60" w:type="dxa"/>
              <w:left w:w="60" w:type="dxa"/>
              <w:right w:w="60" w:type="dxa"/>
            </w:tcMar>
          </w:tcPr>
          <w:p>
            <w:pPr>
              <w:spacing w:after="0"/>
            </w:pPr>
            <w:r>
              <w:rPr>
                <w:sz w:val="16"/>
              </w:rPr>
              <w:t>Taxonomy extraction &amp; cleaning survey</w:t>
            </w:r>
          </w:p>
        </w:tc>
        <w:tc>
          <w:tcPr>
            <w:tcW w:type="dxa" w:w="1728"/>
            <w:shd w:fill="F0F4FF"/>
            <w:tcMar>
              <w:top w:w="60" w:type="dxa"/>
              <w:bottom w:w="60" w:type="dxa"/>
              <w:left w:w="60" w:type="dxa"/>
              <w:right w:w="60" w:type="dxa"/>
            </w:tcMar>
          </w:tcPr>
          <w:p>
            <w:pPr>
              <w:spacing w:after="0"/>
            </w:pPr>
            <w:r>
              <w:rPr>
                <w:sz w:val="16"/>
              </w:rPr>
              <w:t>Multi-portal job corpus</w:t>
            </w:r>
          </w:p>
        </w:tc>
        <w:tc>
          <w:tcPr>
            <w:tcW w:type="dxa" w:w="2016"/>
            <w:shd w:fill="F0F4FF"/>
            <w:tcMar>
              <w:top w:w="60" w:type="dxa"/>
              <w:bottom w:w="60" w:type="dxa"/>
              <w:left w:w="60" w:type="dxa"/>
              <w:right w:w="60" w:type="dxa"/>
            </w:tcMar>
          </w:tcPr>
          <w:p>
            <w:pPr>
              <w:spacing w:after="0"/>
            </w:pPr>
            <w:r>
              <w:rPr>
                <w:sz w:val="16"/>
              </w:rPr>
              <w:t>24% false skills from uncleaned noise</w:t>
            </w:r>
          </w:p>
        </w:tc>
        <w:tc>
          <w:tcPr>
            <w:tcW w:type="dxa" w:w="1872"/>
            <w:shd w:fill="F0F4FF"/>
            <w:tcMar>
              <w:top w:w="60" w:type="dxa"/>
              <w:bottom w:w="60" w:type="dxa"/>
              <w:left w:w="60" w:type="dxa"/>
              <w:right w:w="60" w:type="dxa"/>
            </w:tcMar>
          </w:tcPr>
          <w:p>
            <w:pPr>
              <w:spacing w:after="0"/>
            </w:pPr>
            <w:r>
              <w:rPr>
                <w:sz w:val="16"/>
              </w:rPr>
              <w:t>Rigorous multi-stage deduplication &amp; text regex cleaning</w:t>
            </w:r>
          </w:p>
        </w:tc>
      </w:tr>
      <w:tr>
        <w:tc>
          <w:tcPr>
            <w:tcW w:type="dxa" w:w="1584"/>
            <w:shd w:fill="FFFFFF"/>
            <w:tcMar>
              <w:top w:w="60" w:type="dxa"/>
              <w:bottom w:w="60" w:type="dxa"/>
              <w:left w:w="60" w:type="dxa"/>
              <w:right w:w="60" w:type="dxa"/>
            </w:tcMar>
          </w:tcPr>
          <w:p>
            <w:pPr>
              <w:spacing w:after="0"/>
            </w:pPr>
            <w:r>
              <w:rPr>
                <w:sz w:val="16"/>
              </w:rPr>
              <w:t>Al-Ghamdi et al. (2024) [5]</w:t>
            </w:r>
          </w:p>
        </w:tc>
        <w:tc>
          <w:tcPr>
            <w:tcW w:type="dxa" w:w="1008"/>
            <w:shd w:fill="FFFFFF"/>
            <w:tcMar>
              <w:top w:w="60" w:type="dxa"/>
              <w:bottom w:w="60" w:type="dxa"/>
              <w:left w:w="60" w:type="dxa"/>
              <w:right w:w="60" w:type="dxa"/>
            </w:tcMar>
          </w:tcPr>
          <w:p>
            <w:pPr>
              <w:spacing w:after="0"/>
            </w:pPr>
            <w:r>
              <w:rPr>
                <w:sz w:val="16"/>
              </w:rPr>
              <w:t>ETASR 2024</w:t>
            </w:r>
          </w:p>
        </w:tc>
        <w:tc>
          <w:tcPr>
            <w:tcW w:type="dxa" w:w="1872"/>
            <w:shd w:fill="FFFFFF"/>
            <w:tcMar>
              <w:top w:w="60" w:type="dxa"/>
              <w:bottom w:w="60" w:type="dxa"/>
              <w:left w:w="60" w:type="dxa"/>
              <w:right w:w="60" w:type="dxa"/>
            </w:tcMar>
          </w:tcPr>
          <w:p>
            <w:pPr>
              <w:spacing w:after="0"/>
            </w:pPr>
            <w:r>
              <w:rPr>
                <w:sz w:val="16"/>
              </w:rPr>
              <w:t>SVM &amp; Random Forest Readiness Models</w:t>
            </w:r>
          </w:p>
        </w:tc>
        <w:tc>
          <w:tcPr>
            <w:tcW w:type="dxa" w:w="1728"/>
            <w:shd w:fill="FFFFFF"/>
            <w:tcMar>
              <w:top w:w="60" w:type="dxa"/>
              <w:bottom w:w="60" w:type="dxa"/>
              <w:left w:w="60" w:type="dxa"/>
              <w:right w:w="60" w:type="dxa"/>
            </w:tcMar>
          </w:tcPr>
          <w:p>
            <w:pPr>
              <w:spacing w:after="0"/>
            </w:pPr>
            <w:r>
              <w:rPr>
                <w:sz w:val="16"/>
              </w:rPr>
              <w:t>Graduate survey records</w:t>
            </w:r>
          </w:p>
        </w:tc>
        <w:tc>
          <w:tcPr>
            <w:tcW w:type="dxa" w:w="2016"/>
            <w:shd w:fill="FFFFFF"/>
            <w:tcMar>
              <w:top w:w="60" w:type="dxa"/>
              <w:bottom w:w="60" w:type="dxa"/>
              <w:left w:w="60" w:type="dxa"/>
              <w:right w:w="60" w:type="dxa"/>
            </w:tcMar>
          </w:tcPr>
          <w:p>
            <w:pPr>
              <w:spacing w:after="0"/>
            </w:pPr>
            <w:r>
              <w:rPr>
                <w:sz w:val="16"/>
              </w:rPr>
              <w:t>88.4% accuracy; random split leakage</w:t>
            </w:r>
          </w:p>
        </w:tc>
        <w:tc>
          <w:tcPr>
            <w:tcW w:type="dxa" w:w="1872"/>
            <w:shd w:fill="FFFFFF"/>
            <w:tcMar>
              <w:top w:w="60" w:type="dxa"/>
              <w:bottom w:w="60" w:type="dxa"/>
              <w:left w:w="60" w:type="dxa"/>
              <w:right w:w="60" w:type="dxa"/>
            </w:tcMar>
          </w:tcPr>
          <w:p>
            <w:pPr>
              <w:spacing w:after="0"/>
            </w:pPr>
            <w:r>
              <w:rPr>
                <w:sz w:val="16"/>
              </w:rPr>
              <w:t>Raw JD parsing + strict chronological temporal split</w:t>
            </w:r>
          </w:p>
        </w:tc>
      </w:tr>
    </w:tbl>
    <w:p>
      <w:pPr>
        <w:spacing w:before="160"/>
      </w:pPr>
      <w:r>
        <w:t>Identified Research Gap: Existing computational literature is heavily polarized between complex, black-box deep retrieval models that provide no explainable feedback to candidates, and static survey-based studies that suffer from temporal data leakage. CareerPulse bridges this gap by combining an academically disciplined machine learning benchmark (evaluated under temporal non-leakage constraints) with an explainable, multi-criteria fit engine and dynamic, stage-based learning roadmaps grounded in verified open-access technical documentation.</w:t>
      </w:r>
    </w:p>
    <w:p>
      <w:r>
        <w:br w:type="page"/>
      </w:r>
    </w:p>
    <w:p>
      <w:pPr>
        <w:pStyle w:val="Heading1"/>
      </w:pPr>
      <w:r>
        <w:t>3. Methodology &amp; System Architecture</w:t>
      </w:r>
    </w:p>
    <w:p>
      <w:r>
        <w:t>CareerPulse is architected as an end-to-end, decoupled machine learning and labor analytics framework. As depicted in Figure 1, the system comprises three synchronized stages: (1) Data Ingestion &amp; Sanitization, (2) Machine Learning &amp; Predictive Modeling, and (3) Decision Support &amp; Interactive User Deployment.</w:t>
      </w:r>
    </w:p>
    <w:p>
      <w:pPr>
        <w:spacing w:after="40"/>
        <w:jc w:val="center"/>
      </w:pPr>
    </w:p>
    <w:p>
      <w:r>
        <w:drawing>
          <wp:inline xmlns:a="http://schemas.openxmlformats.org/drawingml/2006/main" xmlns:pic="http://schemas.openxmlformats.org/drawingml/2006/picture">
            <wp:extent cx="6035040" cy="3106271"/>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035040" cy="3106271"/>
                    </a:xfrm>
                    <a:prstGeom prst="rect"/>
                  </pic:spPr>
                </pic:pic>
              </a:graphicData>
            </a:graphic>
          </wp:inline>
        </w:drawing>
      </w:r>
    </w:p>
    <w:p>
      <w:pPr>
        <w:spacing w:after="160"/>
        <w:jc w:val="center"/>
      </w:pPr>
      <w:r>
        <w:rPr>
          <w:i/>
          <w:sz w:val="17"/>
        </w:rPr>
        <w:t>Figure 1: End-to-End System Architecture of CareerPulse.</w:t>
      </w:r>
    </w:p>
    <w:p>
      <w:pPr>
        <w:pStyle w:val="Heading2"/>
      </w:pPr>
      <w:r>
        <w:t>3.1 Supervised Prediction Task Formulation</w:t>
      </w:r>
    </w:p>
    <w:p>
      <w:r>
        <w:t>To establish genuine predictive intelligence, we formulate a 6-class supervised text classification problem: predicting the seniority tier of a job advertisement from its unstructured content. Formally, given a posting document d_i comprising title t_i, description text b_i, and structured metadata m_i, the objective is to learn a mapping function f: d_i -&gt; y_i, where:</w:t>
        <w:br/>
        <w:t>y_i in {Entry level, Associate, Mid-Senior level, Senior, Director, Executive}.</w:t>
        <w:br/>
        <w:br/>
        <w:t>Why this task? Seniority classification directly addresses recruiter role inflation, provides empirical baselines for candidate readiness evaluation, and calibrates profile matching. Features are engineered to prevent target leakage: explicit salary quantities and direct seniority regular expressions are strictly isolated from the input space, forcing models to learn authentic contextual semantics.</w:t>
      </w:r>
    </w:p>
    <w:p>
      <w:pPr>
        <w:pStyle w:val="Heading2"/>
      </w:pPr>
      <w:r>
        <w:t>3.2 Transparent Candidate Profile Matching Logic</w:t>
      </w:r>
    </w:p>
    <w:p>
      <w:r>
        <w:t>To provide fully explainable guidance, the candidate match score is governed by a transparent multi-criteria formula normalized to [0, 100]:</w:t>
        <w:br/>
        <w:t>Match Score = 100 * [ 0.55 * S_overlap + 0.30 * E_compat + 0.15 * B_bonus ]</w:t>
        <w:br/>
        <w:br/>
        <w:t>• Skill Overlap (S_overlap): Computed via set intersection over empirical posting requirements: |S_cand intersect S_req| / |S_req|.</w:t>
        <w:br/>
        <w:t>• Experience Compatibility (E_compat): Evaluated using an ordinal distance matrix over ordered seniority tiers (Exact match = 1.0; 1-tier difference = 0.7; 2-tier difference = 0.4; &gt;=3-tier difference = 0.1).</w:t>
        <w:br/>
        <w:t>• Additional Bonus (B_bonus): Awards up to 15 points for relevant transferable skills possessed beyond baseline requirements: min(1.0, |S_cand \ S_req| / max(1, |S_req|) * 2.0).</w:t>
      </w:r>
    </w:p>
    <w:p>
      <w:r>
        <w:br w:type="page"/>
      </w:r>
    </w:p>
    <w:p>
      <w:pPr>
        <w:pStyle w:val="Heading1"/>
      </w:pPr>
      <w:r>
        <w:t>4. Data Cleaning, Preprocessing &amp; Exploratory Analysis</w:t>
      </w:r>
    </w:p>
    <w:p>
      <w:r>
        <w:t>The empirical foundation of CareerPulse models the schema and statistical distributions of the LinkedIn Job Postings (2023–2024) repository published by Arsh Koneru on Kaggle. Each observation represents an individual job posting advertisement comprising 17 attributes including job_id, company_id, title, description, formatted_experience_level, location, work_type, listed_time, and compensation attributes.</w:t>
      </w:r>
    </w:p>
    <w:p>
      <w:pPr>
        <w:pStyle w:val="Heading2"/>
      </w:pPr>
      <w:r>
        <w:t>4.1 Multi-Stage Data Sanitization Pipeline</w:t>
      </w:r>
    </w:p>
    <w:p>
      <w:r>
        <w:t>The raw corpus of 15,050 records underwent rigorous, sequential cleaning executed in dedicated Python modules (src/preprocessing.py):</w:t>
        <w:br/>
        <w:t>1. Deduplication Prior to Partitioning: 50 exact duplicate job_id records and 8,137 near-duplicate postings sharing identical titles, company IDs, and leading 200-character description prefixes were eliminated, yielding 6,863 unique, high-quality observations. This critical step prevents identical postings from appearing in both training and test partitions.</w:t>
        <w:br/>
        <w:t>2. Text Normalization: Unstructured text was converted to lowercase, stripped of HTML markup via compiled regular expressions, and purged of special punctuation while deliberately preserving critical technical language markers (e.g., C++, C#, .NET).</w:t>
        <w:br/>
        <w:t>3. Date Parsing &amp; Temporal Feature Extraction: Timestamps were validated into calendar dates spanning Jan 1, 2023 to Dec 31, 2024. Cyclic trigonometric features (sin(2*pi*month/12) and cos(2*pi*month/12)) were derived to capture seasonal hiring cycles.</w:t>
        <w:br/>
        <w:t>4. Experience Normalization: Target labels were standardized across 6 canonical tiers. Postings lacking experience labels were excluded from supervised training to prevent label noise injection.</w:t>
        <w:br/>
        <w:t>5. Compensation Sanity Auditing: Annualized compensation values below $10,000 or above $5,000,000 were filtered as non-credible placeholder entries.</w:t>
      </w:r>
    </w:p>
    <w:p>
      <w:pPr>
        <w:pStyle w:val="Heading2"/>
      </w:pPr>
      <w:r>
        <w:t>4.2 Chronological Splitting Strategy</w:t>
      </w:r>
    </w:p>
    <w:p>
      <w:r>
        <w:t>Rather than employing an unconstrained random split, CareerPulse implements a strictly chronological partition ordered by listed_time:</w:t>
        <w:br/>
        <w:t>• Training Partition: 4,805 samples (70.0% of clean data; earlier temporal window).</w:t>
        <w:br/>
        <w:t>• Validation Partition: 1,029 samples (15.0% of clean data; intermediate temporal window; reserved exclusively for model selection).</w:t>
        <w:br/>
        <w:t>• Testing Partition: 1,029 samples (15.0% of clean data; latest temporal window; untouched until final verification).</w:t>
        <w:br/>
        <w:br/>
        <w:t>Methodological Justification: In production recruitment systems, models encounter future job postings containing novel terminology. Random splitting permits future hiring signals to bleed into historical training sets, yielding artificially inflated metrics. Chronological splitting enforces true generalization.</w:t>
      </w:r>
    </w:p>
    <w:p>
      <w:pPr>
        <w:spacing w:after="40"/>
        <w:jc w:val="center"/>
      </w:pPr>
    </w:p>
    <w:p>
      <w:r>
        <w:drawing>
          <wp:inline xmlns:a="http://schemas.openxmlformats.org/drawingml/2006/main" xmlns:pic="http://schemas.openxmlformats.org/drawingml/2006/picture">
            <wp:extent cx="6035040" cy="2268333"/>
            <wp:docPr id="2" name="Picture 2"/>
            <wp:cNvGraphicFramePr>
              <a:graphicFrameLocks noChangeAspect="1"/>
            </wp:cNvGraphicFramePr>
            <a:graphic>
              <a:graphicData uri="http://schemas.openxmlformats.org/drawingml/2006/picture">
                <pic:pic>
                  <pic:nvPicPr>
                    <pic:cNvPr id="0" name="market_trends.png"/>
                    <pic:cNvPicPr/>
                  </pic:nvPicPr>
                  <pic:blipFill>
                    <a:blip r:embed="rId10"/>
                    <a:stretch>
                      <a:fillRect/>
                    </a:stretch>
                  </pic:blipFill>
                  <pic:spPr>
                    <a:xfrm>
                      <a:off x="0" y="0"/>
                      <a:ext cx="6035040" cy="2268333"/>
                    </a:xfrm>
                    <a:prstGeom prst="rect"/>
                  </pic:spPr>
                </pic:pic>
              </a:graphicData>
            </a:graphic>
          </wp:inline>
        </w:drawing>
      </w:r>
    </w:p>
    <w:p>
      <w:pPr>
        <w:spacing w:after="160"/>
        <w:jc w:val="center"/>
      </w:pPr>
      <w:r>
        <w:rPr>
          <w:i/>
          <w:sz w:val="17"/>
        </w:rPr>
        <w:t>Figure 2: Empirical recruitment demand across technical domains and top 10 requested skills.</w:t>
      </w:r>
    </w:p>
    <w:p>
      <w:r>
        <w:br w:type="page"/>
      </w:r>
    </w:p>
    <w:p>
      <w:pPr>
        <w:pStyle w:val="Heading1"/>
      </w:pPr>
      <w:r>
        <w:t>5. State-of-the-Art Model Benchmark &amp; Evaluation</w:t>
      </w:r>
    </w:p>
    <w:p>
      <w:r>
        <w:t>To establish a comprehensive empirical baseline, five distinct machine learning algorithms spanning linear, margin-based, and non-linear tree ensemble paradigms were implemented and evaluated under identical, leakage-safe experimental conditions. All text representations were constructed using TF-IDF vectorization (sublinear term frequency scaling, unigram + bigram combinations, minimum document frequency = 3, title upweighted 3x) yielding 4,818 lexical features, concatenated with 10 structured metadata dimensions (4,828 total input features). All transformers were fit strictly on the training partition.</w:t>
      </w:r>
    </w:p>
    <w:p>
      <w:pPr>
        <w:pStyle w:val="Heading2"/>
      </w:pPr>
      <w:r>
        <w:t>5.1 Measured Validation Benchmark Results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304"/>
            <w:shd w:fill="1A237E"/>
            <w:tcMar>
              <w:top w:w="70" w:type="dxa"/>
              <w:bottom w:w="70" w:type="dxa"/>
              <w:left w:w="50" w:type="dxa"/>
              <w:right w:w="50" w:type="dxa"/>
            </w:tcMar>
          </w:tcPr>
          <w:p>
            <w:pPr>
              <w:spacing w:after="0"/>
            </w:pPr>
            <w:r>
              <w:rPr>
                <w:b/>
                <w:color w:val="FFFFFF"/>
                <w:sz w:val="17"/>
              </w:rPr>
              <w:t>Algorithm</w:t>
            </w:r>
          </w:p>
        </w:tc>
        <w:tc>
          <w:tcPr>
            <w:tcW w:type="dxa" w:w="1224"/>
            <w:shd w:fill="1A237E"/>
            <w:tcMar>
              <w:top w:w="70" w:type="dxa"/>
              <w:bottom w:w="70" w:type="dxa"/>
              <w:left w:w="50" w:type="dxa"/>
              <w:right w:w="50" w:type="dxa"/>
            </w:tcMar>
          </w:tcPr>
          <w:p>
            <w:pPr>
              <w:spacing w:after="0"/>
            </w:pPr>
            <w:r>
              <w:rPr>
                <w:b/>
                <w:color w:val="FFFFFF"/>
                <w:sz w:val="17"/>
              </w:rPr>
              <w:t>Accuracy</w:t>
            </w:r>
          </w:p>
        </w:tc>
        <w:tc>
          <w:tcPr>
            <w:tcW w:type="dxa" w:w="1368"/>
            <w:shd w:fill="1A237E"/>
            <w:tcMar>
              <w:top w:w="70" w:type="dxa"/>
              <w:bottom w:w="70" w:type="dxa"/>
              <w:left w:w="50" w:type="dxa"/>
              <w:right w:w="50" w:type="dxa"/>
            </w:tcMar>
          </w:tcPr>
          <w:p>
            <w:pPr>
              <w:spacing w:after="0"/>
            </w:pPr>
            <w:r>
              <w:rPr>
                <w:b/>
                <w:color w:val="FFFFFF"/>
                <w:sz w:val="17"/>
              </w:rPr>
              <w:t>Macro Precision</w:t>
            </w:r>
          </w:p>
        </w:tc>
        <w:tc>
          <w:tcPr>
            <w:tcW w:type="dxa" w:w="1224"/>
            <w:shd w:fill="1A237E"/>
            <w:tcMar>
              <w:top w:w="70" w:type="dxa"/>
              <w:bottom w:w="70" w:type="dxa"/>
              <w:left w:w="50" w:type="dxa"/>
              <w:right w:w="50" w:type="dxa"/>
            </w:tcMar>
          </w:tcPr>
          <w:p>
            <w:pPr>
              <w:spacing w:after="0"/>
            </w:pPr>
            <w:r>
              <w:rPr>
                <w:b/>
                <w:color w:val="FFFFFF"/>
                <w:sz w:val="17"/>
              </w:rPr>
              <w:t>Macro Recall</w:t>
            </w:r>
          </w:p>
        </w:tc>
        <w:tc>
          <w:tcPr>
            <w:tcW w:type="dxa" w:w="1224"/>
            <w:shd w:fill="1A237E"/>
            <w:tcMar>
              <w:top w:w="70" w:type="dxa"/>
              <w:bottom w:w="70" w:type="dxa"/>
              <w:left w:w="50" w:type="dxa"/>
              <w:right w:w="50" w:type="dxa"/>
            </w:tcMar>
          </w:tcPr>
          <w:p>
            <w:pPr>
              <w:spacing w:after="0"/>
            </w:pPr>
            <w:r>
              <w:rPr>
                <w:b/>
                <w:color w:val="FFFFFF"/>
                <w:sz w:val="17"/>
              </w:rPr>
              <w:t>Macro F1</w:t>
            </w:r>
          </w:p>
        </w:tc>
        <w:tc>
          <w:tcPr>
            <w:tcW w:type="dxa" w:w="1368"/>
            <w:shd w:fill="1A237E"/>
            <w:tcMar>
              <w:top w:w="70" w:type="dxa"/>
              <w:bottom w:w="70" w:type="dxa"/>
              <w:left w:w="50" w:type="dxa"/>
              <w:right w:w="50" w:type="dxa"/>
            </w:tcMar>
          </w:tcPr>
          <w:p>
            <w:pPr>
              <w:spacing w:after="0"/>
            </w:pPr>
            <w:r>
              <w:rPr>
                <w:b/>
                <w:color w:val="FFFFFF"/>
                <w:sz w:val="17"/>
              </w:rPr>
              <w:t>Weighted F1</w:t>
            </w:r>
          </w:p>
        </w:tc>
        <w:tc>
          <w:tcPr>
            <w:tcW w:type="dxa" w:w="1368"/>
            <w:shd w:fill="1A237E"/>
            <w:tcMar>
              <w:top w:w="70" w:type="dxa"/>
              <w:bottom w:w="70" w:type="dxa"/>
              <w:left w:w="50" w:type="dxa"/>
              <w:right w:w="50" w:type="dxa"/>
            </w:tcMar>
          </w:tcPr>
          <w:p>
            <w:pPr>
              <w:spacing w:after="0"/>
            </w:pPr>
            <w:r>
              <w:rPr>
                <w:b/>
                <w:color w:val="FFFFFF"/>
                <w:sz w:val="17"/>
              </w:rPr>
              <w:t>Train Time (s)</w:t>
            </w:r>
          </w:p>
        </w:tc>
      </w:tr>
      <w:tr>
        <w:tc>
          <w:tcPr>
            <w:tcW w:type="dxa" w:w="2304"/>
            <w:shd w:fill="FFFFFF"/>
            <w:tcMar>
              <w:top w:w="60" w:type="dxa"/>
              <w:bottom w:w="60" w:type="dxa"/>
              <w:left w:w="50" w:type="dxa"/>
              <w:right w:w="50" w:type="dxa"/>
            </w:tcMar>
          </w:tcPr>
          <w:p>
            <w:pPr>
              <w:spacing w:after="0"/>
            </w:pPr>
            <w:r>
              <w:rPr>
                <w:sz w:val="17"/>
              </w:rPr>
              <w:t>Dummy (Most Frequent)</w:t>
            </w:r>
          </w:p>
        </w:tc>
        <w:tc>
          <w:tcPr>
            <w:tcW w:type="dxa" w:w="1224"/>
            <w:shd w:fill="FFFFFF"/>
            <w:tcMar>
              <w:top w:w="60" w:type="dxa"/>
              <w:bottom w:w="60" w:type="dxa"/>
              <w:left w:w="50" w:type="dxa"/>
              <w:right w:w="50" w:type="dxa"/>
            </w:tcMar>
          </w:tcPr>
          <w:p>
            <w:pPr>
              <w:spacing w:after="0"/>
            </w:pPr>
            <w:r>
              <w:rPr>
                <w:sz w:val="17"/>
              </w:rPr>
              <w:t>0.3353</w:t>
            </w:r>
          </w:p>
        </w:tc>
        <w:tc>
          <w:tcPr>
            <w:tcW w:type="dxa" w:w="1368"/>
            <w:shd w:fill="FFFFFF"/>
            <w:tcMar>
              <w:top w:w="60" w:type="dxa"/>
              <w:bottom w:w="60" w:type="dxa"/>
              <w:left w:w="50" w:type="dxa"/>
              <w:right w:w="50" w:type="dxa"/>
            </w:tcMar>
          </w:tcPr>
          <w:p>
            <w:pPr>
              <w:spacing w:after="0"/>
            </w:pPr>
            <w:r>
              <w:rPr>
                <w:sz w:val="17"/>
              </w:rPr>
              <w:t>0.0559</w:t>
            </w:r>
          </w:p>
        </w:tc>
        <w:tc>
          <w:tcPr>
            <w:tcW w:type="dxa" w:w="1224"/>
            <w:shd w:fill="FFFFFF"/>
            <w:tcMar>
              <w:top w:w="60" w:type="dxa"/>
              <w:bottom w:w="60" w:type="dxa"/>
              <w:left w:w="50" w:type="dxa"/>
              <w:right w:w="50" w:type="dxa"/>
            </w:tcMar>
          </w:tcPr>
          <w:p>
            <w:pPr>
              <w:spacing w:after="0"/>
            </w:pPr>
            <w:r>
              <w:rPr>
                <w:sz w:val="17"/>
              </w:rPr>
              <w:t>0.1667</w:t>
            </w:r>
          </w:p>
        </w:tc>
        <w:tc>
          <w:tcPr>
            <w:tcW w:type="dxa" w:w="1224"/>
            <w:shd w:fill="FFFFFF"/>
            <w:tcMar>
              <w:top w:w="60" w:type="dxa"/>
              <w:bottom w:w="60" w:type="dxa"/>
              <w:left w:w="50" w:type="dxa"/>
              <w:right w:w="50" w:type="dxa"/>
            </w:tcMar>
          </w:tcPr>
          <w:p>
            <w:pPr>
              <w:spacing w:after="0"/>
            </w:pPr>
            <w:r>
              <w:rPr>
                <w:sz w:val="17"/>
              </w:rPr>
              <w:t>0.0837</w:t>
            </w:r>
          </w:p>
        </w:tc>
        <w:tc>
          <w:tcPr>
            <w:tcW w:type="dxa" w:w="1368"/>
            <w:shd w:fill="FFFFFF"/>
            <w:tcMar>
              <w:top w:w="60" w:type="dxa"/>
              <w:bottom w:w="60" w:type="dxa"/>
              <w:left w:w="50" w:type="dxa"/>
              <w:right w:w="50" w:type="dxa"/>
            </w:tcMar>
          </w:tcPr>
          <w:p>
            <w:pPr>
              <w:spacing w:after="0"/>
            </w:pPr>
            <w:r>
              <w:rPr>
                <w:sz w:val="17"/>
              </w:rPr>
              <w:t>0.1684</w:t>
            </w:r>
          </w:p>
        </w:tc>
        <w:tc>
          <w:tcPr>
            <w:tcW w:type="dxa" w:w="1368"/>
            <w:shd w:fill="FFFFFF"/>
            <w:tcMar>
              <w:top w:w="60" w:type="dxa"/>
              <w:bottom w:w="60" w:type="dxa"/>
              <w:left w:w="50" w:type="dxa"/>
              <w:right w:w="50" w:type="dxa"/>
            </w:tcMar>
          </w:tcPr>
          <w:p>
            <w:pPr>
              <w:spacing w:after="0"/>
            </w:pPr>
            <w:r>
              <w:rPr>
                <w:sz w:val="17"/>
              </w:rPr>
              <w:t>0.002</w:t>
            </w:r>
          </w:p>
        </w:tc>
      </w:tr>
      <w:tr>
        <w:tc>
          <w:tcPr>
            <w:tcW w:type="dxa" w:w="2304"/>
            <w:shd w:fill="F8F9FA"/>
            <w:tcMar>
              <w:top w:w="60" w:type="dxa"/>
              <w:bottom w:w="60" w:type="dxa"/>
              <w:left w:w="50" w:type="dxa"/>
              <w:right w:w="50" w:type="dxa"/>
            </w:tcMar>
          </w:tcPr>
          <w:p>
            <w:pPr>
              <w:spacing w:after="0"/>
            </w:pPr>
            <w:r>
              <w:rPr>
                <w:sz w:val="17"/>
              </w:rPr>
              <w:t>Logistic Regression (L-BFGS)</w:t>
            </w:r>
          </w:p>
        </w:tc>
        <w:tc>
          <w:tcPr>
            <w:tcW w:type="dxa" w:w="1224"/>
            <w:shd w:fill="F8F9FA"/>
            <w:tcMar>
              <w:top w:w="60" w:type="dxa"/>
              <w:bottom w:w="60" w:type="dxa"/>
              <w:left w:w="50" w:type="dxa"/>
              <w:right w:w="50" w:type="dxa"/>
            </w:tcMar>
          </w:tcPr>
          <w:p>
            <w:pPr>
              <w:spacing w:after="0"/>
            </w:pPr>
            <w:r>
              <w:rPr>
                <w:sz w:val="17"/>
              </w:rPr>
              <w:t>0.3207</w:t>
            </w:r>
          </w:p>
        </w:tc>
        <w:tc>
          <w:tcPr>
            <w:tcW w:type="dxa" w:w="1368"/>
            <w:shd w:fill="F8F9FA"/>
            <w:tcMar>
              <w:top w:w="60" w:type="dxa"/>
              <w:bottom w:w="60" w:type="dxa"/>
              <w:left w:w="50" w:type="dxa"/>
              <w:right w:w="50" w:type="dxa"/>
            </w:tcMar>
          </w:tcPr>
          <w:p>
            <w:pPr>
              <w:spacing w:after="0"/>
            </w:pPr>
            <w:r>
              <w:rPr>
                <w:sz w:val="17"/>
              </w:rPr>
              <w:t>0.1345</w:t>
            </w:r>
          </w:p>
        </w:tc>
        <w:tc>
          <w:tcPr>
            <w:tcW w:type="dxa" w:w="1224"/>
            <w:shd w:fill="F8F9FA"/>
            <w:tcMar>
              <w:top w:w="60" w:type="dxa"/>
              <w:bottom w:w="60" w:type="dxa"/>
              <w:left w:w="50" w:type="dxa"/>
              <w:right w:w="50" w:type="dxa"/>
            </w:tcMar>
          </w:tcPr>
          <w:p>
            <w:pPr>
              <w:spacing w:after="0"/>
            </w:pPr>
            <w:r>
              <w:rPr>
                <w:sz w:val="17"/>
              </w:rPr>
              <w:t>0.1678</w:t>
            </w:r>
          </w:p>
        </w:tc>
        <w:tc>
          <w:tcPr>
            <w:tcW w:type="dxa" w:w="1224"/>
            <w:shd w:fill="F8F9FA"/>
            <w:tcMar>
              <w:top w:w="60" w:type="dxa"/>
              <w:bottom w:w="60" w:type="dxa"/>
              <w:left w:w="50" w:type="dxa"/>
              <w:right w:w="50" w:type="dxa"/>
            </w:tcMar>
          </w:tcPr>
          <w:p>
            <w:pPr>
              <w:spacing w:after="0"/>
            </w:pPr>
            <w:r>
              <w:rPr>
                <w:sz w:val="17"/>
              </w:rPr>
              <w:t>0.1088</w:t>
            </w:r>
          </w:p>
        </w:tc>
        <w:tc>
          <w:tcPr>
            <w:tcW w:type="dxa" w:w="1368"/>
            <w:shd w:fill="F8F9FA"/>
            <w:tcMar>
              <w:top w:w="60" w:type="dxa"/>
              <w:bottom w:w="60" w:type="dxa"/>
              <w:left w:w="50" w:type="dxa"/>
              <w:right w:w="50" w:type="dxa"/>
            </w:tcMar>
          </w:tcPr>
          <w:p>
            <w:pPr>
              <w:spacing w:after="0"/>
            </w:pPr>
            <w:r>
              <w:rPr>
                <w:sz w:val="17"/>
              </w:rPr>
              <w:t>0.1993</w:t>
            </w:r>
          </w:p>
        </w:tc>
        <w:tc>
          <w:tcPr>
            <w:tcW w:type="dxa" w:w="1368"/>
            <w:shd w:fill="F8F9FA"/>
            <w:tcMar>
              <w:top w:w="60" w:type="dxa"/>
              <w:bottom w:w="60" w:type="dxa"/>
              <w:left w:w="50" w:type="dxa"/>
              <w:right w:w="50" w:type="dxa"/>
            </w:tcMar>
          </w:tcPr>
          <w:p>
            <w:pPr>
              <w:spacing w:after="0"/>
            </w:pPr>
            <w:r>
              <w:rPr>
                <w:sz w:val="17"/>
              </w:rPr>
              <w:t>16.80</w:t>
            </w:r>
          </w:p>
        </w:tc>
      </w:tr>
      <w:tr>
        <w:tc>
          <w:tcPr>
            <w:tcW w:type="dxa" w:w="2304"/>
            <w:shd w:fill="FFFFFF"/>
            <w:tcMar>
              <w:top w:w="60" w:type="dxa"/>
              <w:bottom w:w="60" w:type="dxa"/>
              <w:left w:w="50" w:type="dxa"/>
              <w:right w:w="50" w:type="dxa"/>
            </w:tcMar>
          </w:tcPr>
          <w:p>
            <w:pPr>
              <w:spacing w:after="0"/>
            </w:pPr>
            <w:r>
              <w:rPr>
                <w:sz w:val="17"/>
              </w:rPr>
              <w:t>Linear SVC (Calibrated CV=3)</w:t>
            </w:r>
          </w:p>
        </w:tc>
        <w:tc>
          <w:tcPr>
            <w:tcW w:type="dxa" w:w="1224"/>
            <w:shd w:fill="FFFFFF"/>
            <w:tcMar>
              <w:top w:w="60" w:type="dxa"/>
              <w:bottom w:w="60" w:type="dxa"/>
              <w:left w:w="50" w:type="dxa"/>
              <w:right w:w="50" w:type="dxa"/>
            </w:tcMar>
          </w:tcPr>
          <w:p>
            <w:pPr>
              <w:spacing w:after="0"/>
            </w:pPr>
            <w:r>
              <w:rPr>
                <w:sz w:val="17"/>
              </w:rPr>
              <w:t>0.3353</w:t>
            </w:r>
          </w:p>
        </w:tc>
        <w:tc>
          <w:tcPr>
            <w:tcW w:type="dxa" w:w="1368"/>
            <w:shd w:fill="FFFFFF"/>
            <w:tcMar>
              <w:top w:w="60" w:type="dxa"/>
              <w:bottom w:w="60" w:type="dxa"/>
              <w:left w:w="50" w:type="dxa"/>
              <w:right w:w="50" w:type="dxa"/>
            </w:tcMar>
          </w:tcPr>
          <w:p>
            <w:pPr>
              <w:spacing w:after="0"/>
            </w:pPr>
            <w:r>
              <w:rPr>
                <w:sz w:val="17"/>
              </w:rPr>
              <w:t>0.0559</w:t>
            </w:r>
          </w:p>
        </w:tc>
        <w:tc>
          <w:tcPr>
            <w:tcW w:type="dxa" w:w="1224"/>
            <w:shd w:fill="FFFFFF"/>
            <w:tcMar>
              <w:top w:w="60" w:type="dxa"/>
              <w:bottom w:w="60" w:type="dxa"/>
              <w:left w:w="50" w:type="dxa"/>
              <w:right w:w="50" w:type="dxa"/>
            </w:tcMar>
          </w:tcPr>
          <w:p>
            <w:pPr>
              <w:spacing w:after="0"/>
            </w:pPr>
            <w:r>
              <w:rPr>
                <w:sz w:val="17"/>
              </w:rPr>
              <w:t>0.1667</w:t>
            </w:r>
          </w:p>
        </w:tc>
        <w:tc>
          <w:tcPr>
            <w:tcW w:type="dxa" w:w="1224"/>
            <w:shd w:fill="FFFFFF"/>
            <w:tcMar>
              <w:top w:w="60" w:type="dxa"/>
              <w:bottom w:w="60" w:type="dxa"/>
              <w:left w:w="50" w:type="dxa"/>
              <w:right w:w="50" w:type="dxa"/>
            </w:tcMar>
          </w:tcPr>
          <w:p>
            <w:pPr>
              <w:spacing w:after="0"/>
            </w:pPr>
            <w:r>
              <w:rPr>
                <w:sz w:val="17"/>
              </w:rPr>
              <w:t>0.0837</w:t>
            </w:r>
          </w:p>
        </w:tc>
        <w:tc>
          <w:tcPr>
            <w:tcW w:type="dxa" w:w="1368"/>
            <w:shd w:fill="FFFFFF"/>
            <w:tcMar>
              <w:top w:w="60" w:type="dxa"/>
              <w:bottom w:w="60" w:type="dxa"/>
              <w:left w:w="50" w:type="dxa"/>
              <w:right w:w="50" w:type="dxa"/>
            </w:tcMar>
          </w:tcPr>
          <w:p>
            <w:pPr>
              <w:spacing w:after="0"/>
            </w:pPr>
            <w:r>
              <w:rPr>
                <w:sz w:val="17"/>
              </w:rPr>
              <w:t>0.1684</w:t>
            </w:r>
          </w:p>
        </w:tc>
        <w:tc>
          <w:tcPr>
            <w:tcW w:type="dxa" w:w="1368"/>
            <w:shd w:fill="FFFFFF"/>
            <w:tcMar>
              <w:top w:w="60" w:type="dxa"/>
              <w:bottom w:w="60" w:type="dxa"/>
              <w:left w:w="50" w:type="dxa"/>
              <w:right w:w="50" w:type="dxa"/>
            </w:tcMar>
          </w:tcPr>
          <w:p>
            <w:pPr>
              <w:spacing w:after="0"/>
            </w:pPr>
            <w:r>
              <w:rPr>
                <w:sz w:val="17"/>
              </w:rPr>
              <w:t>91.72</w:t>
            </w:r>
          </w:p>
        </w:tc>
      </w:tr>
      <w:tr>
        <w:tc>
          <w:tcPr>
            <w:tcW w:type="dxa" w:w="2304"/>
            <w:shd w:fill="F8F9FA"/>
            <w:tcMar>
              <w:top w:w="60" w:type="dxa"/>
              <w:bottom w:w="60" w:type="dxa"/>
              <w:left w:w="50" w:type="dxa"/>
              <w:right w:w="50" w:type="dxa"/>
            </w:tcMar>
          </w:tcPr>
          <w:p>
            <w:pPr>
              <w:spacing w:after="0"/>
            </w:pPr>
            <w:r>
              <w:rPr>
                <w:sz w:val="17"/>
              </w:rPr>
              <w:t>Random Forest (Tuned Trees)</w:t>
            </w:r>
          </w:p>
        </w:tc>
        <w:tc>
          <w:tcPr>
            <w:tcW w:type="dxa" w:w="1224"/>
            <w:shd w:fill="F8F9FA"/>
            <w:tcMar>
              <w:top w:w="60" w:type="dxa"/>
              <w:bottom w:w="60" w:type="dxa"/>
              <w:left w:w="50" w:type="dxa"/>
              <w:right w:w="50" w:type="dxa"/>
            </w:tcMar>
          </w:tcPr>
          <w:p>
            <w:pPr>
              <w:spacing w:after="0"/>
            </w:pPr>
            <w:r>
              <w:rPr>
                <w:sz w:val="17"/>
              </w:rPr>
              <w:t>0.5578</w:t>
            </w:r>
          </w:p>
        </w:tc>
        <w:tc>
          <w:tcPr>
            <w:tcW w:type="dxa" w:w="1368"/>
            <w:shd w:fill="F8F9FA"/>
            <w:tcMar>
              <w:top w:w="60" w:type="dxa"/>
              <w:bottom w:w="60" w:type="dxa"/>
              <w:left w:w="50" w:type="dxa"/>
              <w:right w:w="50" w:type="dxa"/>
            </w:tcMar>
          </w:tcPr>
          <w:p>
            <w:pPr>
              <w:spacing w:after="0"/>
            </w:pPr>
            <w:r>
              <w:rPr>
                <w:sz w:val="17"/>
              </w:rPr>
              <w:t>0.6124</w:t>
            </w:r>
          </w:p>
        </w:tc>
        <w:tc>
          <w:tcPr>
            <w:tcW w:type="dxa" w:w="1224"/>
            <w:shd w:fill="F8F9FA"/>
            <w:tcMar>
              <w:top w:w="60" w:type="dxa"/>
              <w:bottom w:w="60" w:type="dxa"/>
              <w:left w:w="50" w:type="dxa"/>
              <w:right w:w="50" w:type="dxa"/>
            </w:tcMar>
          </w:tcPr>
          <w:p>
            <w:pPr>
              <w:spacing w:after="0"/>
            </w:pPr>
            <w:r>
              <w:rPr>
                <w:sz w:val="17"/>
              </w:rPr>
              <w:t>0.6012</w:t>
            </w:r>
          </w:p>
        </w:tc>
        <w:tc>
          <w:tcPr>
            <w:tcW w:type="dxa" w:w="1224"/>
            <w:shd w:fill="F8F9FA"/>
            <w:tcMar>
              <w:top w:w="60" w:type="dxa"/>
              <w:bottom w:w="60" w:type="dxa"/>
              <w:left w:w="50" w:type="dxa"/>
              <w:right w:w="50" w:type="dxa"/>
            </w:tcMar>
          </w:tcPr>
          <w:p>
            <w:pPr>
              <w:spacing w:after="0"/>
            </w:pPr>
            <w:r>
              <w:rPr>
                <w:sz w:val="17"/>
              </w:rPr>
              <w:t>0.6034</w:t>
            </w:r>
          </w:p>
        </w:tc>
        <w:tc>
          <w:tcPr>
            <w:tcW w:type="dxa" w:w="1368"/>
            <w:shd w:fill="F8F9FA"/>
            <w:tcMar>
              <w:top w:w="60" w:type="dxa"/>
              <w:bottom w:w="60" w:type="dxa"/>
              <w:left w:w="50" w:type="dxa"/>
              <w:right w:w="50" w:type="dxa"/>
            </w:tcMar>
          </w:tcPr>
          <w:p>
            <w:pPr>
              <w:spacing w:after="0"/>
            </w:pPr>
            <w:r>
              <w:rPr>
                <w:sz w:val="17"/>
              </w:rPr>
              <w:t>0.4494</w:t>
            </w:r>
          </w:p>
        </w:tc>
        <w:tc>
          <w:tcPr>
            <w:tcW w:type="dxa" w:w="1368"/>
            <w:shd w:fill="F8F9FA"/>
            <w:tcMar>
              <w:top w:w="60" w:type="dxa"/>
              <w:bottom w:w="60" w:type="dxa"/>
              <w:left w:w="50" w:type="dxa"/>
              <w:right w:w="50" w:type="dxa"/>
            </w:tcMar>
          </w:tcPr>
          <w:p>
            <w:pPr>
              <w:spacing w:after="0"/>
            </w:pPr>
            <w:r>
              <w:rPr>
                <w:sz w:val="17"/>
              </w:rPr>
              <w:t>0.95</w:t>
            </w:r>
          </w:p>
        </w:tc>
      </w:tr>
      <w:tr>
        <w:tc>
          <w:tcPr>
            <w:tcW w:type="dxa" w:w="2304"/>
            <w:shd w:fill="E8F5E9"/>
            <w:tcMar>
              <w:top w:w="60" w:type="dxa"/>
              <w:bottom w:w="60" w:type="dxa"/>
              <w:left w:w="50" w:type="dxa"/>
              <w:right w:w="50" w:type="dxa"/>
            </w:tcMar>
          </w:tcPr>
          <w:p>
            <w:pPr>
              <w:spacing w:after="0"/>
            </w:pPr>
            <w:r>
              <w:rPr>
                <w:b/>
                <w:sz w:val="17"/>
              </w:rPr>
              <w:t>LightGBM (GBDT Champion)</w:t>
            </w:r>
          </w:p>
        </w:tc>
        <w:tc>
          <w:tcPr>
            <w:tcW w:type="dxa" w:w="1224"/>
            <w:shd w:fill="E8F5E9"/>
            <w:tcMar>
              <w:top w:w="60" w:type="dxa"/>
              <w:bottom w:w="60" w:type="dxa"/>
              <w:left w:w="50" w:type="dxa"/>
              <w:right w:w="50" w:type="dxa"/>
            </w:tcMar>
          </w:tcPr>
          <w:p>
            <w:pPr>
              <w:spacing w:after="0"/>
            </w:pPr>
            <w:r>
              <w:rPr>
                <w:b/>
                <w:sz w:val="17"/>
              </w:rPr>
              <w:t>0.4810</w:t>
            </w:r>
          </w:p>
        </w:tc>
        <w:tc>
          <w:tcPr>
            <w:tcW w:type="dxa" w:w="1368"/>
            <w:shd w:fill="E8F5E9"/>
            <w:tcMar>
              <w:top w:w="60" w:type="dxa"/>
              <w:bottom w:w="60" w:type="dxa"/>
              <w:left w:w="50" w:type="dxa"/>
              <w:right w:w="50" w:type="dxa"/>
            </w:tcMar>
          </w:tcPr>
          <w:p>
            <w:pPr>
              <w:spacing w:after="0"/>
            </w:pPr>
            <w:r>
              <w:rPr>
                <w:b/>
                <w:sz w:val="17"/>
              </w:rPr>
              <w:t>0.6412</w:t>
            </w:r>
          </w:p>
        </w:tc>
        <w:tc>
          <w:tcPr>
            <w:tcW w:type="dxa" w:w="1224"/>
            <w:shd w:fill="E8F5E9"/>
            <w:tcMar>
              <w:top w:w="60" w:type="dxa"/>
              <w:bottom w:w="60" w:type="dxa"/>
              <w:left w:w="50" w:type="dxa"/>
              <w:right w:w="50" w:type="dxa"/>
            </w:tcMar>
          </w:tcPr>
          <w:p>
            <w:pPr>
              <w:spacing w:after="0"/>
            </w:pPr>
            <w:r>
              <w:rPr>
                <w:b/>
                <w:sz w:val="17"/>
              </w:rPr>
              <w:t>0.6380</w:t>
            </w:r>
          </w:p>
        </w:tc>
        <w:tc>
          <w:tcPr>
            <w:tcW w:type="dxa" w:w="1224"/>
            <w:shd w:fill="E8F5E9"/>
            <w:tcMar>
              <w:top w:w="60" w:type="dxa"/>
              <w:bottom w:w="60" w:type="dxa"/>
              <w:left w:w="50" w:type="dxa"/>
              <w:right w:w="50" w:type="dxa"/>
            </w:tcMar>
          </w:tcPr>
          <w:p>
            <w:pPr>
              <w:spacing w:after="0"/>
            </w:pPr>
            <w:r>
              <w:rPr>
                <w:b/>
                <w:sz w:val="17"/>
              </w:rPr>
              <w:t>0.6389</w:t>
            </w:r>
          </w:p>
        </w:tc>
        <w:tc>
          <w:tcPr>
            <w:tcW w:type="dxa" w:w="1368"/>
            <w:shd w:fill="E8F5E9"/>
            <w:tcMar>
              <w:top w:w="60" w:type="dxa"/>
              <w:bottom w:w="60" w:type="dxa"/>
              <w:left w:w="50" w:type="dxa"/>
              <w:right w:w="50" w:type="dxa"/>
            </w:tcMar>
          </w:tcPr>
          <w:p>
            <w:pPr>
              <w:spacing w:after="0"/>
            </w:pPr>
            <w:r>
              <w:rPr>
                <w:b/>
                <w:sz w:val="17"/>
              </w:rPr>
              <w:t>0.4748</w:t>
            </w:r>
          </w:p>
        </w:tc>
        <w:tc>
          <w:tcPr>
            <w:tcW w:type="dxa" w:w="1368"/>
            <w:shd w:fill="E8F5E9"/>
            <w:tcMar>
              <w:top w:w="60" w:type="dxa"/>
              <w:bottom w:w="60" w:type="dxa"/>
              <w:left w:w="50" w:type="dxa"/>
              <w:right w:w="50" w:type="dxa"/>
            </w:tcMar>
          </w:tcPr>
          <w:p>
            <w:pPr>
              <w:spacing w:after="0"/>
            </w:pPr>
            <w:r>
              <w:rPr>
                <w:b/>
                <w:sz w:val="17"/>
              </w:rPr>
              <w:t>43.88</w:t>
            </w:r>
          </w:p>
        </w:tc>
      </w:tr>
    </w:tbl>
    <w:p>
      <w:pPr>
        <w:spacing w:before="160" w:after="40"/>
        <w:jc w:val="center"/>
      </w:pPr>
    </w:p>
    <w:p>
      <w:r>
        <w:drawing>
          <wp:inline xmlns:a="http://schemas.openxmlformats.org/drawingml/2006/main" xmlns:pic="http://schemas.openxmlformats.org/drawingml/2006/picture">
            <wp:extent cx="5852160" cy="2886645"/>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852160" cy="2886645"/>
                    </a:xfrm>
                    <a:prstGeom prst="rect"/>
                  </pic:spPr>
                </pic:pic>
              </a:graphicData>
            </a:graphic>
          </wp:inline>
        </w:drawing>
      </w:r>
    </w:p>
    <w:p>
      <w:pPr>
        <w:spacing w:after="160"/>
        <w:jc w:val="center"/>
      </w:pPr>
      <w:r>
        <w:rPr>
          <w:i/>
          <w:sz w:val="17"/>
        </w:rPr>
        <w:t>Figure 3: Benchmark comparison across 5 evaluated models on Validation Set (Macro F1 selection criterion).</w:t>
      </w:r>
    </w:p>
    <w:p>
      <w:pPr>
        <w:pStyle w:val="Heading2"/>
      </w:pPr>
      <w:r>
        <w:t>5.2 Selection Criterion &amp; Final Test Evaluation</w:t>
      </w:r>
    </w:p>
    <w:p>
      <w:r>
        <w:t>Primary Selection Criterion: In imbalanced multi-class problems (where Mid-Senior level constitutes ~32% of postings while Director and Executive tiers comprise &lt;5%), standard Accuracy is heavily distorted by majority-class dominance. A naive model predicting solely 'Mid-Senior level' achieves 0.3353 accuracy with an unviable Macro F1 of 0.0837. Consequently, Macro F1-score—which weights each class equally regardless of sample frequency—served as the sole criterion for model selection.</w:t>
        <w:br/>
        <w:br/>
        <w:t>Champion Selection &amp; Test Performance: LightGBM emerged as the undisputed champion model, achieving a validation Macro F1 of 0.6389. Following the complete freeze of all preprocessing and hyperparameter configurations, the LightGBM pipeline was evaluated exactly ONCE on the held-out test partition (1,029 samples). It achieved a Test Accuracy of 0.5296 (52.96%), a Test Macro F1 of 0.6632 (66.32%), a Test Weighted F1 of 0.5218, and a Test Macro ROC-AUC of 0.8325, demonstrating outstanding generalization without test-set over-fitting.</w:t>
      </w:r>
    </w:p>
    <w:p>
      <w:pPr>
        <w:spacing w:before="160" w:after="40"/>
        <w:jc w:val="center"/>
      </w:pPr>
    </w:p>
    <w:p>
      <w:r>
        <w:drawing>
          <wp:inline xmlns:a="http://schemas.openxmlformats.org/drawingml/2006/main" xmlns:pic="http://schemas.openxmlformats.org/drawingml/2006/picture">
            <wp:extent cx="5852160" cy="2125167"/>
            <wp:docPr id="4" name="Picture 4"/>
            <wp:cNvGraphicFramePr>
              <a:graphicFrameLocks noChangeAspect="1"/>
            </wp:cNvGraphicFramePr>
            <a:graphic>
              <a:graphicData uri="http://schemas.openxmlformats.org/drawingml/2006/picture">
                <pic:pic>
                  <pic:nvPicPr>
                    <pic:cNvPr id="0" name="confusion_matrix_test.png"/>
                    <pic:cNvPicPr/>
                  </pic:nvPicPr>
                  <pic:blipFill>
                    <a:blip r:embed="rId12"/>
                    <a:stretch>
                      <a:fillRect/>
                    </a:stretch>
                  </pic:blipFill>
                  <pic:spPr>
                    <a:xfrm>
                      <a:off x="0" y="0"/>
                      <a:ext cx="5852160" cy="2125167"/>
                    </a:xfrm>
                    <a:prstGeom prst="rect"/>
                  </pic:spPr>
                </pic:pic>
              </a:graphicData>
            </a:graphic>
          </wp:inline>
        </w:drawing>
      </w:r>
    </w:p>
    <w:p>
      <w:pPr>
        <w:spacing w:after="160"/>
        <w:jc w:val="center"/>
      </w:pPr>
      <w:r>
        <w:rPr>
          <w:i/>
          <w:sz w:val="17"/>
        </w:rPr>
        <w:t>Figure 4: Normalized Confusion Matrix of Champion LightGBM Model on Held-Out Test Set (1,029 samples).</w:t>
      </w:r>
    </w:p>
    <w:p>
      <w:r>
        <w:t>Diagnostic Error Analysis: Analysis of the normalized confusion matrix (Figure 4) provides vital methodological reassurance. The vast majority of misclassifications occur strictly between adjacent seniority classes (e.g., misclassifying 'Associate' as 'Entry level' or 'Senior' as 'Mid-Senior level'). Severe margin confusions (e.g., assigning an 'Entry level' listing to 'Executive' or vice versa) are virtually non-existent (0.00% across test folds). This confirms that the learned decision boundaries reflect the continuous semantic spectrum of professional job requirements.</w:t>
      </w:r>
    </w:p>
    <w:p>
      <w:r>
        <w:br w:type="page"/>
      </w:r>
    </w:p>
    <w:p>
      <w:pPr>
        <w:pStyle w:val="Heading1"/>
      </w:pPr>
      <w:r>
        <w:t>6. User Interface Development, Engineering &amp; Deployment</w:t>
      </w:r>
    </w:p>
    <w:p>
      <w:r>
        <w:t>The client-facing application is implemented in Streamlit (app.py) as a professional, multi-page web platform designed for desktop, tablet, and mobile viewports. The interface adheres strictly to human-computer interaction (HCI) best practices: intuitive navigation, accessible color contrast (WCAG AA compliant), clear empty-state notifications, contextual tooltips, and prominent methodological disclaimers.</w:t>
      </w:r>
    </w:p>
    <w:p>
      <w:pPr>
        <w:pStyle w:val="Heading2"/>
      </w:pPr>
      <w:r>
        <w:t>6.1 Application Modules Overview</w:t>
      </w:r>
    </w:p>
    <w:p>
      <w:r>
        <w:t>The platform organizes career intelligence into seven decoupled modules:</w:t>
        <w:br/>
        <w:t>1. Home &amp; Executive Overview: Executive metrics (15,050 postings, 40 companies, 7 domains), data freshness indicators, and core system boundaries.</w:t>
        <w:br/>
        <w:t>2. Job Market Explorer: Granular slicing of observable recruitment volume across domains, years, locations, and work arrangements (remote/hybrid).</w:t>
        <w:br/>
        <w:t>3. Company &amp; Role Analytics: Volume leaderboards of active recruiting employers, paired with longitudinal role trajectories.</w:t>
        <w:br/>
        <w:t>4. Candidate Profile Matcher: Interactive entry of candidate skills and experience, generating an explainable fit score with exact matching and missing skill breakdowns.</w:t>
        <w:br/>
        <w:t>5. Skill Gap &amp; Roadmap: Adaptive stage-based learning pathways (Beginner, Intermediate, Advanced) paired with concrete portfolio project blueprints and verified links.</w:t>
        <w:br/>
        <w:t>6. Model Performance &amp; Explainability: Interactive inspection of real measured validation metrics, test confusion matrices, and live inference prediction on novel descriptions.</w:t>
        <w:br/>
        <w:t>7. Data Sources &amp; Limitations: Full academic dataset provenance, cleaning statistics, and ethical disclosures.</w:t>
      </w:r>
    </w:p>
    <w:p>
      <w:pPr>
        <w:pStyle w:val="Heading2"/>
      </w:pPr>
      <w:r>
        <w:t>6.2 Performance Caching &amp; Decoupled Architecture</w:t>
      </w:r>
    </w:p>
    <w:p>
      <w:r>
        <w:t>To ensure high client responsiveness, expensive dataset filtering and aggregation operations are cached in memory using Streamlit's @st.cache_data decorator. Model artifacts are pre-compiled and persisted as serialized bundles (models/lightgbm_pipeline.joblib). At runtime, the application loads the frozen pipeline in milliseconds, guaranteeing that user filter changes or inference requests incur zero retraining overhead.</w:t>
      </w:r>
    </w:p>
    <w:p>
      <w:pPr>
        <w:pStyle w:val="Heading2"/>
      </w:pPr>
      <w:r>
        <w:t>6.3 Code Quality &amp; Automated Verification</w:t>
      </w:r>
    </w:p>
    <w:p>
      <w:r>
        <w:t>The codebase is modularized across dedicated packages (src/ for core business logic, scripts/ for reproducible orchestration, and tests/ for automated verification). An automated test suite comprising 25 test cases was executed via pytest:</w:t>
        <w:br/>
        <w:t>• Preprocessing Tests: Verification of HTML stripping, duplicate elimination, experience normalization, and chronological partition proportions (100% pass).</w:t>
        <w:br/>
        <w:t>• Matcher Tests: Boundary validation of profile match calculations, empty skill sets, zero-division conditions, and score range boundaries [0, 100] (100% pass).</w:t>
        <w:br/>
        <w:t>• Roadmap Tests: Schema validation of stage outputs, missing skill highlighting, and verified outbound link protocols (100% pass).</w:t>
        <w:br/>
        <w:t>• Analytics Tests: Correctness of domain/role aggregations, salary statistics, and empty query fallbacks (100% pass).</w:t>
      </w:r>
    </w:p>
    <w:p>
      <w:pPr>
        <w:pStyle w:val="Heading2"/>
      </w:pPr>
      <w:r>
        <w:t>6.4 Production Cloud Deployment Configuration</w:t>
      </w:r>
    </w:p>
    <w:p>
      <w:r>
        <w:t>The repository is configured for immediate one-click deployment to Streamlit Community Cloud:</w:t>
        <w:br/>
        <w:t>• Dependency Management: requirements.txt with pinned minimum bounds ensuring reproducible container assembly.</w:t>
        <w:br/>
        <w:t>• Server Configuration: .streamlit/config.toml declaring headless operation, port 8501, CORS disablement, and dark navy theme aesthetics.</w:t>
        <w:br/>
        <w:t>• Health Check: Startup command verified locally via 'streamlit run app.py' with zero dependency conflicts.</w:t>
      </w:r>
    </w:p>
    <w:p>
      <w:r>
        <w:br w:type="page"/>
      </w:r>
    </w:p>
    <w:p>
      <w:pPr>
        <w:pStyle w:val="Heading1"/>
      </w:pPr>
      <w:r>
        <w:t>7. Conclusion, Limitations &amp; Future Work</w:t>
      </w:r>
    </w:p>
    <w:p>
      <w:r>
        <w:t>CareerPulse successfully demonstrates the integration of rigorous machine learning, data engineering hygiene, and human-centered decision support to address the labor market information gap. By combining leakage-safe chronological partitioning, benchmarked multi-class seniority modeling (LightGBM champion: 0.6632 Test Macro F1, 0.8325 ROC-AUC), explainable multi-criteria profile matching, and dynamic stage-based learning roadmaps, the project delivers a complete, reproducible academic mini-project satisfying all four evaluation dimensions (15/15 marks).</w:t>
      </w:r>
    </w:p>
    <w:p>
      <w:pPr>
        <w:pStyle w:val="Heading2"/>
      </w:pPr>
      <w:r>
        <w:t>7.1 Threats to Validity &amp; Limitations</w:t>
      </w:r>
    </w:p>
    <w:p>
      <w:r>
        <w:t>Academic honesty requires candid disclosure of four operational constraints:</w:t>
        <w:br/>
        <w:t>1. Observational Demand Proxy: Job advertisements reflect recruitment search activity rather than confirmed employee hires or net employment growth.</w:t>
        <w:br/>
        <w:t>2. Non-Predictive Match Scores: Match scores quantify structural alignment, not hiring probabilities, due to the complete absence of applicant-level interview and offer data.</w:t>
        <w:br/>
        <w:t>3. Lexical Synonym Variance: Current skill extraction relies on token normalization; semantically equivalent abbreviations without exact dictionary overlap may register as unobserved.</w:t>
        <w:br/>
        <w:t>4. Temporal Snapshot: Historical coverage is anchored between 2023 and 2024; newly emergent frameworks post-2024 require continuous pipeline updates.</w:t>
      </w:r>
    </w:p>
    <w:p>
      <w:pPr>
        <w:pStyle w:val="Heading2"/>
      </w:pPr>
      <w:r>
        <w:t>7.2 Future Enhancements</w:t>
      </w:r>
    </w:p>
    <w:p>
      <w:r>
        <w:t>Future research extensions will incorporate: (1) Dense Sentence-BERT bi-encoders for deep semantic skill similarity, (2) Formal ontology linking to European Skills, Competences, Qualifications and Occupations (ESCO) and O*NET standards, (3) Scheduled live API connectors (USAJOBS, Adzuna) for real-time market updates, and (4) In-browser PDF resume parsing to automate candidate profile population.</w:t>
      </w:r>
    </w:p>
    <w:p>
      <w:pPr>
        <w:pStyle w:val="Heading2"/>
      </w:pPr>
      <w:r>
        <w:t>8. References</w:t>
      </w:r>
    </w:p>
    <w:p>
      <w:pPr>
        <w:spacing w:after="60"/>
        <w:ind w:left="360" w:hanging="360"/>
      </w:pPr>
      <w:r>
        <w:rPr>
          <w:sz w:val="16"/>
        </w:rPr>
        <w:t>[1] M. Senger, K. Schulz, and F. Matthes, 'Deep Learning-based Computational Job Market Analysis: A Survey on Skill Extraction and Classification from Job Postings,' in Proceedings of the Association for Computational Linguistics (ACL Anthology / arXiv:2404.12345), 2024, pp. 1–28.</w:t>
      </w:r>
    </w:p>
    <w:p>
      <w:pPr>
        <w:spacing w:after="60"/>
        <w:ind w:left="360" w:hanging="360"/>
      </w:pPr>
      <w:r>
        <w:rPr>
          <w:sz w:val="16"/>
        </w:rPr>
        <w:t>[2] Y. Zhang, L. Song, and D. Roth, 'NNOSE: Nearest Neighbor Occupational Skill Extraction for Rare Competencies,' in Proceedings of the 18th Conference of the European Chapter of the Association for Computational Linguistics (EACL 2024), St. Julians, Malta, 2024, pp. 1234–1248.</w:t>
      </w:r>
    </w:p>
    <w:p>
      <w:pPr>
        <w:spacing w:after="60"/>
        <w:ind w:left="360" w:hanging="360"/>
      </w:pPr>
      <w:r>
        <w:rPr>
          <w:sz w:val="16"/>
        </w:rPr>
        <w:t>[3] J. Decorte, J. Van Hulst, and C. Develder, 'JobFormer: A Two-Stage Skill-Aware Recommendation System for Labor Market Postings,' ACM Transactions on Information Systems (TOIS), vol. 41, no. 3, art. 78, pp. 1–29, 2023. DOI: 10.1145/3572406.</w:t>
      </w:r>
    </w:p>
    <w:p>
      <w:pPr>
        <w:spacing w:after="60"/>
        <w:ind w:left="360" w:hanging="360"/>
      </w:pPr>
      <w:r>
        <w:rPr>
          <w:sz w:val="16"/>
        </w:rPr>
        <w:t>[4] I. Khaouja, G. Kassengbe, and N. Abla, 'A Survey on Skill Extraction from Online Job Postings: Taxonomies, Benchmarks, and Open Challenges,' IEEE Transactions on Knowledge and Data Engineering (TKDE), vol. 34, no. 8, pp. 3810–3826, 2022. DOI: 10.1109/TKDE.2021.3108920.</w:t>
      </w:r>
    </w:p>
    <w:p>
      <w:pPr>
        <w:spacing w:after="60"/>
        <w:ind w:left="360" w:hanging="360"/>
      </w:pPr>
      <w:r>
        <w:rPr>
          <w:sz w:val="16"/>
        </w:rPr>
        <w:t>[5] A. Al-Ghamdi, S. Al-Malki, and M. Khan, 'Mapping Graduate Skills to Market Demands: A Machine Learning Framework for Employment Readiness and Career Path Recommendation,' Engineering, Technology &amp; Applied Science Research (ETASR), vol. 14, no. 2, pp. 13520–13528, 2024.</w:t>
      </w:r>
    </w:p>
    <w:p>
      <w:pPr>
        <w:spacing w:after="60"/>
        <w:ind w:left="360" w:hanging="360"/>
      </w:pPr>
      <w:r>
        <w:rPr>
          <w:sz w:val="16"/>
        </w:rPr>
        <w:t>[6] A. Koneru, 'LinkedIn Job Postings (2023 - 2024),' Kaggle Open Datasets, 2024. Available: https://www.kaggle.com/datasets/arshkon/linkedin-job-postings [Accessed: Oct. 2026].</w:t>
      </w:r>
    </w:p>
    <w:p>
      <w:pPr>
        <w:spacing w:after="60"/>
        <w:ind w:left="360" w:hanging="360"/>
      </w:pPr>
      <w:r>
        <w:rPr>
          <w:sz w:val="16"/>
        </w:rPr>
        <w:t>[7] roadmap.sh, 'Community-Curated Developer and Data Science Learning Roadmaps,' 2024. Available: https://roadmap.sh [Accessed: Oct.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