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ld1owggtg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documentation </w:t>
      </w:r>
      <w:commentRangeStart w:id="0"/>
      <w:commentRangeStart w:id="1"/>
      <w:commentRangeStart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categories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will be used for: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organizing topics that display in the table of contents.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providing a consistent naming convention for AEM folders across products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assigning taxonomy values to the use case metadata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Original definitions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295"/>
        <w:gridCol w:w="2580"/>
        <w:gridCol w:w="2970"/>
        <w:tblGridChange w:id="0">
          <w:tblGrid>
            <w:gridCol w:w="1500"/>
            <w:gridCol w:w="2295"/>
            <w:gridCol w:w="2580"/>
            <w:gridCol w:w="29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JTBD-Aligned Framing (When I want to…)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content belongs here?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What’s 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Learn what has changed in the current release.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Understand what’s new, improved, or deprecated. Discover highlights to tech preview features. Learn about bug fixes and known issues.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Release notes, breaking changes, deprecations, highlights.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Orient me to what the product is, what it does, and when I should use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Understand whether this product solves my problem, what it can do, and how it conceptually works.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High-level orientation, value proposition, key capabilities, conceptual diagrams (not architectural choices).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highlight w:val="green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Perform the simplest first tasks to become productive with the product.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Quickly learn how to do something meaningful with the product after installation.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Intro tutorials, initial configurations, “hello world,” first-time usage.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Help me choose the right architecture and topology before installing.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Design and size the right deployment for my environment before committing to installation.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Detailed reference architectures, sizing, system requirements, supported topologies, capacity planning, and deployment implications and trade offs. 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Install the product in a supported and repeatable way.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Set up the product so it’s running in my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Installation procedures, cluster creation, prerequisites verification, installer workflows, post-install checks, and uninstalling procedures. For more information on when to use “deploy” vs “install” in job titles for this category, refer to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JTBD consistency guideline</w:t>
              </w:r>
            </w:hyperlink>
            <w:r w:rsidDel="00000000" w:rsidR="00000000" w:rsidRPr="00000000">
              <w:rPr>
                <w:rtl w:val="0"/>
              </w:rPr>
              <w:t xml:space="preserve">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Move an existing environment to a newer version safely.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Update the product without disrupting my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Upgrade paths, compatibility notes, prerequisites, rollback instructions.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Move from one system or platform to another.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Shift my data, apps, or clusters to a different environment.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Migration guides, conversion tools, supported migration paths.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Operate and manage the product on an ongoing basis.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Keep the product healthy, secure, and performing well in production.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“Keep the product healthy, secure, and performing well in production.”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Build, modify, or maintain applications or automation that run on or with the product.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Create software or automation that uses this product’s capabilities.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API usage, SDKs, custom resources, sample code, development workflows.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Adjust system or product settings to meet desired behavior.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Set up or tune the product to behave the way I need.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settings, tuning, network configuration, storage configuration.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Implement security controls and ensure compliance.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Protect my system and data, and meet security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Authentication, authorization, encryption, compliance, security hardening.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Monitor, trace, and understand system behavior and performance.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See what’s happening in my system so I can understand or troubleshoot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Logging, monitoring, metrics, alerts, eventing, observability integrations.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Connect the product to external systems, platforms, or services.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Make this product work with other products, cloud services, or enterprise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integration, cloud provider integration, external monitoring, cross-product workflows, third-party connectors.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Right size the deployment for my environment and tune existing software installations.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Align product performance with organizational priorities and environment constraints.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  <w:t xml:space="preserve">, scale)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Add internal capabilities or optional components that run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inside</w:t>
            </w:r>
            <w:r w:rsidDel="00000000" w:rsidR="00000000" w:rsidRPr="00000000">
              <w:rPr>
                <w:rtl w:val="0"/>
              </w:rPr>
              <w:t xml:space="preserve"> the product.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Enhance the product’s functionality by adding supported extensions or plug-ins.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Operators, plug-ins, platform add-ons, internal services, extensions managed by the platform.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Troubleshoot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Diagnose and resolve issues in the product.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Fix a problem so the system works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Known issues, troubleshooting flows, diagnostic tools, remediation steps.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Access authoritative details, parameters, and APIs.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Look up exact details so I can configure or automate accurately.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API references, CLI options, CRD specs, parameters, schemas.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Download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Download PDFs for this product version.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Access the product documentation in PDF for example if I am in a disconnected environment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PDF Landing page topic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l8odjbgcfq4i" w:id="1"/>
      <w:bookmarkEnd w:id="1"/>
      <w:r w:rsidDel="00000000" w:rsidR="00000000" w:rsidRPr="00000000">
        <w:rPr>
          <w:rtl w:val="0"/>
        </w:rPr>
        <w:t xml:space="preserve">Recommended order of use cases in the TOC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use cases should have a fixed order at the top of the TOC: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What’s new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started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use cases should be placed at the end of your TOC in this order: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Troubleshoot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Download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use cases that live in between the top and bottom groupings of use cases can have a flexible order.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not add the use case to your TOC if the use case is empty.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ynne Maynard" w:id="0" w:date="2026-04-13T15:51:12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@tshearon@redhat.com Have you all considered an "Examples" category? Just curious as I know examples are something customers consistently ask for, and as I look to place some examples in our 2.7 and subsequent releases, the likely locations (buried a bit under category &gt; job &gt; and maybe even sub-job) they may be hard to find. I guess another option would be an examples heading (job) under a category, though "Examples" wouldn't technically be a job, so that is probably not ideal... Just wanted to bring this up for consideration/feedback/thoughts.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we had a ton of examples, I can see the justification for adding them under relevant jobs. But since we don't (known weakness of our docs, AFAIK), highlighting them at a higher level seems like it would be helpful. thx!</w:t>
      </w:r>
    </w:p>
  </w:comment>
  <w:comment w:author="Tanya Shearon" w:id="1" w:date="2026-04-16T22:02:47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@lmaynard@redhat.com At the moment, we have examples contained within the job. I do think there is the use case of organizing or spotlighting end-to-end scenarios somewhere, especially when the flow extends beyond using a single category or job.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types of end-to-end examples could be contained within a category that displays in the navigation or surfaced under a heading on the hub page. Ideally, metadata would drive adding content to the hub page. Let me think on this more as I work on the metadata strategy.</w:t>
      </w:r>
    </w:p>
  </w:comment>
  <w:comment w:author="Jennifer Ciroli" w:id="2" w:date="2026-04-23T13:48:21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 +1 to Lynne's comment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bSCVhNl_uAija6HstkuYWQJ_OSatAfcGn4LP2EeOSI4/edit?gid=1228593511#gid=1228593511" TargetMode="External"/><Relationship Id="rId8" Type="http://schemas.openxmlformats.org/officeDocument/2006/relationships/hyperlink" Target="https://docs.google.com/document/d/1vH0oCnL6Cnhje20NSb7KGQ0O1ObLEm1tMmBZ3wx10uQ/edit?tab=t.0#bookmark=id.p1nlo92emz1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