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Ms. Sarah Jenkins</w:t>
        <w:br/>
        <w:t>October 12, 2026</w:t>
        <w:br/>
      </w:r>
    </w:p>
    <w:p>
      <w:r>
        <w:rPr>
          <w:rFonts w:ascii="Arial" w:hAnsi="Arial"/>
          <w:b/>
          <w:color w:val="F1552B"/>
          <w:sz w:val="22"/>
        </w:rPr>
        <w:t>Re: Clinical placement framework</w:t>
      </w:r>
    </w:p>
    <w:p>
      <w:r>
        <w:rPr>
          <w:rFonts w:ascii="Arial" w:hAnsi="Arial"/>
          <w:sz w:val="22"/>
        </w:rPr>
        <w:br/>
        <w:t>Dear Sarah,</w:t>
        <w:br/>
        <w:br/>
        <w:t>Please find enclosed the initial placement framework as discussed. Our objective remains to compress the onboarding timeline without compromising clinical readiness.</w:t>
        <w:br/>
        <w:br/>
        <w:t>Let me know if you need any adjustments to the staging criteria before we proceed to next week's review.</w:t>
        <w:br/>
        <w:br/>
        <w:t>Best regards,</w:t>
        <w:br/>
        <w:br/>
        <w:t>Priya Nair</w:t>
        <w:br/>
        <w:t>Clinical Readiness Lead</w:t>
      </w:r>
    </w:p>
    <w:sectPr w:rsidR="00FC693F" w:rsidRPr="0006063C" w:rsidSect="00034616">
      <w:headerReference w:type="default" r:id="rId9"/>
      <w:pgSz w:w="11906" w:h="16838"/>
      <w:pgMar w:top="2268" w:right="1440" w:bottom="2268" w:left="144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7560000" cy="1069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etterhead-b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