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0D2C2" w14:textId="77777777" w:rsidR="00B05931" w:rsidRDefault="00B05931">
      <w:pPr>
        <w:spacing w:before="1400"/>
      </w:pPr>
    </w:p>
    <w:p w14:paraId="3432315F" w14:textId="77777777" w:rsidR="00B05931" w:rsidRDefault="00852AC2">
      <w:pPr>
        <w:spacing w:after="50"/>
        <w:jc w:val="center"/>
      </w:pPr>
      <w:r>
        <w:rPr>
          <w:b/>
          <w:bCs/>
          <w:color w:val="6B2D8B"/>
          <w:sz w:val="50"/>
          <w:szCs w:val="50"/>
        </w:rPr>
        <w:t>E-COMMERCE PERFORMANCE REPORT</w:t>
      </w:r>
    </w:p>
    <w:p w14:paraId="049CDBA3" w14:textId="77777777" w:rsidR="00B05931" w:rsidRDefault="00852AC2">
      <w:pPr>
        <w:spacing w:before="40" w:after="50"/>
        <w:jc w:val="center"/>
      </w:pPr>
      <w:r>
        <w:rPr>
          <w:b/>
          <w:bCs/>
          <w:color w:val="D63384"/>
          <w:sz w:val="24"/>
          <w:szCs w:val="24"/>
        </w:rPr>
        <w:t>Report ID: FY23-25</w:t>
      </w:r>
    </w:p>
    <w:p w14:paraId="10A2B2B1" w14:textId="77777777" w:rsidR="00B05931" w:rsidRDefault="00852AC2">
      <w:pPr>
        <w:pBdr>
          <w:bottom w:val="single" w:sz="5" w:space="4" w:color="D63384"/>
        </w:pBdr>
        <w:spacing w:before="50" w:after="160"/>
        <w:jc w:val="center"/>
      </w:pPr>
      <w:r>
        <w:rPr>
          <w:i/>
          <w:iCs/>
          <w:color w:val="D63384"/>
          <w:sz w:val="25"/>
          <w:szCs w:val="25"/>
        </w:rPr>
        <w:t>Dashboard Analysis &amp; Business Intelligence Report</w:t>
      </w:r>
    </w:p>
    <w:p w14:paraId="4CADE5CD" w14:textId="77777777" w:rsidR="00B05931" w:rsidRDefault="00B05931">
      <w:pPr>
        <w:spacing w:before="280"/>
      </w:pPr>
    </w:p>
    <w:p w14:paraId="4655B779" w14:textId="77777777" w:rsidR="00B05931" w:rsidRDefault="00852AC2">
      <w:pPr>
        <w:spacing w:before="100" w:after="40"/>
        <w:jc w:val="center"/>
      </w:pPr>
      <w:r>
        <w:rPr>
          <w:color w:val="999999"/>
        </w:rPr>
        <w:t>Prepared by:</w:t>
      </w:r>
    </w:p>
    <w:p w14:paraId="33497FCB" w14:textId="77777777" w:rsidR="003C3C51" w:rsidRDefault="00852AC2" w:rsidP="00852AC2">
      <w:pPr>
        <w:tabs>
          <w:tab w:val="center" w:pos="4860"/>
          <w:tab w:val="left" w:pos="6210"/>
        </w:tabs>
        <w:spacing w:after="60"/>
        <w:rPr>
          <w:b/>
          <w:bCs/>
          <w:color w:val="1A1A2E"/>
          <w:sz w:val="24"/>
          <w:szCs w:val="24"/>
        </w:rPr>
      </w:pPr>
      <w:r>
        <w:rPr>
          <w:b/>
          <w:bCs/>
          <w:color w:val="1A1A2E"/>
          <w:sz w:val="24"/>
          <w:szCs w:val="24"/>
        </w:rPr>
        <w:tab/>
      </w:r>
      <w:r w:rsidR="003C3C51">
        <w:rPr>
          <w:b/>
          <w:bCs/>
          <w:color w:val="1A1A2E"/>
          <w:sz w:val="24"/>
          <w:szCs w:val="24"/>
        </w:rPr>
        <w:t>SUJAL BHAVSAR</w:t>
      </w:r>
    </w:p>
    <w:p w14:paraId="616C7A2B" w14:textId="0005305D" w:rsidR="00B05931" w:rsidRDefault="003C3C51" w:rsidP="003C3C51">
      <w:pPr>
        <w:tabs>
          <w:tab w:val="center" w:pos="4860"/>
          <w:tab w:val="left" w:pos="6210"/>
        </w:tabs>
        <w:spacing w:after="60"/>
        <w:jc w:val="center"/>
        <w:rPr>
          <w:b/>
          <w:bCs/>
          <w:color w:val="1A1A2E"/>
          <w:sz w:val="24"/>
          <w:szCs w:val="24"/>
        </w:rPr>
      </w:pPr>
      <w:r>
        <w:rPr>
          <w:b/>
          <w:bCs/>
          <w:color w:val="1A1A2E"/>
          <w:sz w:val="24"/>
          <w:szCs w:val="24"/>
        </w:rPr>
        <w:t>DHRUV DESAI</w:t>
      </w:r>
    </w:p>
    <w:p w14:paraId="621D0972" w14:textId="17C89F64" w:rsidR="003C3C51" w:rsidRDefault="003C3C51" w:rsidP="003C3C51">
      <w:pPr>
        <w:tabs>
          <w:tab w:val="center" w:pos="4860"/>
          <w:tab w:val="left" w:pos="6210"/>
        </w:tabs>
        <w:spacing w:after="60"/>
        <w:jc w:val="center"/>
        <w:rPr>
          <w:b/>
          <w:bCs/>
          <w:color w:val="1A1A2E"/>
          <w:sz w:val="24"/>
          <w:szCs w:val="24"/>
        </w:rPr>
      </w:pPr>
      <w:r>
        <w:rPr>
          <w:b/>
          <w:bCs/>
          <w:color w:val="1A1A2E"/>
          <w:sz w:val="24"/>
          <w:szCs w:val="24"/>
        </w:rPr>
        <w:t>NEHA MODI</w:t>
      </w:r>
    </w:p>
    <w:p w14:paraId="069783AB" w14:textId="0902CA4D" w:rsidR="003C3C51" w:rsidRDefault="00EA7A9E" w:rsidP="003C3C51">
      <w:pPr>
        <w:tabs>
          <w:tab w:val="center" w:pos="4860"/>
          <w:tab w:val="left" w:pos="6210"/>
        </w:tabs>
        <w:spacing w:after="60"/>
        <w:jc w:val="center"/>
      </w:pPr>
      <w:r>
        <w:rPr>
          <w:b/>
          <w:bCs/>
          <w:color w:val="1A1A2E"/>
          <w:sz w:val="24"/>
          <w:szCs w:val="24"/>
        </w:rPr>
        <w:t>RUDRA RAVAL</w:t>
      </w:r>
    </w:p>
    <w:p w14:paraId="19979BF7" w14:textId="77777777" w:rsidR="00B05931" w:rsidRDefault="00B05931">
      <w:pPr>
        <w:spacing w:before="100"/>
      </w:pPr>
    </w:p>
    <w:p w14:paraId="68470C20" w14:textId="77777777" w:rsidR="00B05931" w:rsidRDefault="00852AC2">
      <w:pPr>
        <w:spacing w:before="100" w:after="40"/>
        <w:jc w:val="center"/>
      </w:pPr>
      <w:r>
        <w:rPr>
          <w:color w:val="999999"/>
        </w:rPr>
        <w:t>Course / Programme:</w:t>
      </w:r>
    </w:p>
    <w:p w14:paraId="08A906B6" w14:textId="5235FDA9" w:rsidR="00B05931" w:rsidRDefault="00EA7A9E">
      <w:pPr>
        <w:spacing w:after="60"/>
        <w:jc w:val="center"/>
      </w:pPr>
      <w:r>
        <w:rPr>
          <w:color w:val="1A1A2E"/>
          <w:sz w:val="24"/>
          <w:szCs w:val="24"/>
        </w:rPr>
        <w:t>DATA ANALYTICS(BH-08)</w:t>
      </w:r>
    </w:p>
    <w:p w14:paraId="57733AD9" w14:textId="77777777" w:rsidR="00B05931" w:rsidRDefault="00B05931">
      <w:pPr>
        <w:spacing w:before="100"/>
      </w:pPr>
    </w:p>
    <w:p w14:paraId="7AA582A7" w14:textId="77777777" w:rsidR="00B05931" w:rsidRDefault="00852AC2">
      <w:pPr>
        <w:spacing w:before="100" w:after="40"/>
        <w:jc w:val="center"/>
      </w:pPr>
      <w:r>
        <w:rPr>
          <w:color w:val="999999"/>
        </w:rPr>
        <w:t>Submission Date:</w:t>
      </w:r>
    </w:p>
    <w:p w14:paraId="3A92291E" w14:textId="64797361" w:rsidR="00B05931" w:rsidRDefault="00EA7A9E">
      <w:pPr>
        <w:spacing w:after="60"/>
        <w:jc w:val="center"/>
      </w:pPr>
      <w:r>
        <w:rPr>
          <w:b/>
          <w:bCs/>
          <w:color w:val="1A1A2E"/>
          <w:sz w:val="24"/>
          <w:szCs w:val="24"/>
        </w:rPr>
        <w:t xml:space="preserve">03 </w:t>
      </w:r>
      <w:r w:rsidR="00852AC2">
        <w:rPr>
          <w:b/>
          <w:bCs/>
          <w:color w:val="1A1A2E"/>
          <w:sz w:val="24"/>
          <w:szCs w:val="24"/>
        </w:rPr>
        <w:t>April 2026</w:t>
      </w:r>
    </w:p>
    <w:p w14:paraId="144045D5" w14:textId="77777777" w:rsidR="00B05931" w:rsidRDefault="00B05931">
      <w:pPr>
        <w:spacing w:before="100"/>
      </w:pPr>
    </w:p>
    <w:p w14:paraId="70913B75" w14:textId="17A18EF5" w:rsidR="00B05931" w:rsidRDefault="00B05931" w:rsidP="00EA7A9E">
      <w:pPr>
        <w:spacing w:before="80"/>
      </w:pPr>
    </w:p>
    <w:p w14:paraId="0EA2EE32" w14:textId="77777777" w:rsidR="00B05931" w:rsidRDefault="00852AC2">
      <w:r>
        <w:br w:type="page"/>
      </w:r>
    </w:p>
    <w:p w14:paraId="1B98A864" w14:textId="77777777" w:rsidR="00B05931" w:rsidRDefault="00852AC2">
      <w:pPr>
        <w:pStyle w:val="Heading1"/>
        <w:spacing w:before="0"/>
      </w:pPr>
      <w:r>
        <w:lastRenderedPageBreak/>
        <w:t>Table of Contents</w:t>
      </w:r>
    </w:p>
    <w:p w14:paraId="4A80CEF5" w14:textId="77777777" w:rsidR="00B05931" w:rsidRDefault="00B05931">
      <w:pPr>
        <w:pBdr>
          <w:bottom w:val="single" w:sz="4" w:space="1" w:color="D63384"/>
        </w:pBdr>
        <w:spacing w:before="120" w:after="140"/>
      </w:pPr>
    </w:p>
    <w:p w14:paraId="4A90638C" w14:textId="77777777" w:rsidR="00B05931" w:rsidRDefault="00852AC2">
      <w:pPr>
        <w:spacing w:before="120" w:after="60"/>
      </w:pPr>
      <w:r>
        <w:rPr>
          <w:b/>
          <w:bCs/>
          <w:color w:val="6B2D8B"/>
          <w:sz w:val="22"/>
          <w:szCs w:val="22"/>
        </w:rPr>
        <w:t>1. Introduction</w:t>
      </w:r>
      <w:r>
        <w:rPr>
          <w:color w:val="6B2D8B"/>
          <w:sz w:val="22"/>
          <w:szCs w:val="22"/>
        </w:rPr>
        <w:ptab w:relativeTo="margin" w:alignment="right" w:leader="dot"/>
      </w:r>
      <w:r>
        <w:rPr>
          <w:color w:val="6B2D8B"/>
          <w:sz w:val="22"/>
          <w:szCs w:val="22"/>
        </w:rPr>
        <w:t>3</w:t>
      </w:r>
    </w:p>
    <w:p w14:paraId="2047C3D5" w14:textId="77777777" w:rsidR="00B05931" w:rsidRDefault="00852AC2">
      <w:pPr>
        <w:spacing w:before="60" w:after="40"/>
        <w:ind w:left="360"/>
      </w:pPr>
      <w:proofErr w:type="gramStart"/>
      <w:r>
        <w:rPr>
          <w:color w:val="555555"/>
          <w:sz w:val="20"/>
          <w:szCs w:val="20"/>
        </w:rPr>
        <w:t>1.1  Purpose</w:t>
      </w:r>
      <w:proofErr w:type="gramEnd"/>
      <w:r>
        <w:rPr>
          <w:color w:val="555555"/>
          <w:sz w:val="20"/>
          <w:szCs w:val="20"/>
        </w:rPr>
        <w:t xml:space="preserve"> of the Report</w:t>
      </w:r>
      <w:r>
        <w:rPr>
          <w:color w:val="555555"/>
          <w:sz w:val="20"/>
          <w:szCs w:val="20"/>
        </w:rPr>
        <w:ptab w:relativeTo="margin" w:alignment="right" w:leader="dot"/>
      </w:r>
      <w:r>
        <w:rPr>
          <w:color w:val="555555"/>
          <w:sz w:val="20"/>
          <w:szCs w:val="20"/>
        </w:rPr>
        <w:t>3</w:t>
      </w:r>
    </w:p>
    <w:p w14:paraId="7C309146" w14:textId="77777777" w:rsidR="00B05931" w:rsidRDefault="00852AC2">
      <w:pPr>
        <w:spacing w:before="60" w:after="40"/>
        <w:ind w:left="360"/>
      </w:pPr>
      <w:proofErr w:type="gramStart"/>
      <w:r>
        <w:rPr>
          <w:color w:val="555555"/>
          <w:sz w:val="20"/>
          <w:szCs w:val="20"/>
        </w:rPr>
        <w:t>1.2  Why</w:t>
      </w:r>
      <w:proofErr w:type="gramEnd"/>
      <w:r>
        <w:rPr>
          <w:color w:val="555555"/>
          <w:sz w:val="20"/>
          <w:szCs w:val="20"/>
        </w:rPr>
        <w:t xml:space="preserve"> Data Analysis Matters</w:t>
      </w:r>
      <w:r>
        <w:rPr>
          <w:color w:val="555555"/>
          <w:sz w:val="20"/>
          <w:szCs w:val="20"/>
        </w:rPr>
        <w:ptab w:relativeTo="margin" w:alignment="right" w:leader="dot"/>
      </w:r>
      <w:r>
        <w:rPr>
          <w:color w:val="555555"/>
          <w:sz w:val="20"/>
          <w:szCs w:val="20"/>
        </w:rPr>
        <w:t>3</w:t>
      </w:r>
    </w:p>
    <w:p w14:paraId="6E4234E5" w14:textId="77777777" w:rsidR="00B05931" w:rsidRDefault="00852AC2">
      <w:pPr>
        <w:spacing w:before="120" w:after="60"/>
      </w:pPr>
      <w:r>
        <w:rPr>
          <w:b/>
          <w:bCs/>
          <w:color w:val="6B2D8B"/>
          <w:sz w:val="22"/>
          <w:szCs w:val="22"/>
        </w:rPr>
        <w:t>2. Dashboard Overview &amp; Data Story</w:t>
      </w:r>
      <w:r>
        <w:rPr>
          <w:color w:val="6B2D8B"/>
          <w:sz w:val="22"/>
          <w:szCs w:val="22"/>
        </w:rPr>
        <w:ptab w:relativeTo="margin" w:alignment="right" w:leader="dot"/>
      </w:r>
      <w:r>
        <w:rPr>
          <w:color w:val="6B2D8B"/>
          <w:sz w:val="22"/>
          <w:szCs w:val="22"/>
        </w:rPr>
        <w:t>4</w:t>
      </w:r>
    </w:p>
    <w:p w14:paraId="7CF428CD" w14:textId="77777777" w:rsidR="00B05931" w:rsidRDefault="00852AC2">
      <w:pPr>
        <w:spacing w:before="60" w:after="40"/>
        <w:ind w:left="360"/>
      </w:pPr>
      <w:proofErr w:type="gramStart"/>
      <w:r>
        <w:rPr>
          <w:color w:val="555555"/>
          <w:sz w:val="20"/>
          <w:szCs w:val="20"/>
        </w:rPr>
        <w:t>2.1  Dashboard</w:t>
      </w:r>
      <w:proofErr w:type="gramEnd"/>
      <w:r>
        <w:rPr>
          <w:color w:val="555555"/>
          <w:sz w:val="20"/>
          <w:szCs w:val="20"/>
        </w:rPr>
        <w:t xml:space="preserve"> at a Glance</w:t>
      </w:r>
      <w:r>
        <w:rPr>
          <w:color w:val="555555"/>
          <w:sz w:val="20"/>
          <w:szCs w:val="20"/>
        </w:rPr>
        <w:ptab w:relativeTo="margin" w:alignment="right" w:leader="dot"/>
      </w:r>
      <w:r>
        <w:rPr>
          <w:color w:val="555555"/>
          <w:sz w:val="20"/>
          <w:szCs w:val="20"/>
        </w:rPr>
        <w:t>4</w:t>
      </w:r>
    </w:p>
    <w:p w14:paraId="3DCE4B2A" w14:textId="77777777" w:rsidR="00B05931" w:rsidRDefault="00852AC2">
      <w:pPr>
        <w:spacing w:before="60" w:after="40"/>
        <w:ind w:left="360"/>
      </w:pPr>
      <w:proofErr w:type="gramStart"/>
      <w:r>
        <w:rPr>
          <w:color w:val="555555"/>
          <w:sz w:val="20"/>
          <w:szCs w:val="20"/>
        </w:rPr>
        <w:t>2.2  Revenue</w:t>
      </w:r>
      <w:proofErr w:type="gramEnd"/>
      <w:r>
        <w:rPr>
          <w:color w:val="555555"/>
          <w:sz w:val="20"/>
          <w:szCs w:val="20"/>
        </w:rPr>
        <w:t xml:space="preserve"> by Category</w:t>
      </w:r>
      <w:r>
        <w:rPr>
          <w:color w:val="555555"/>
          <w:sz w:val="20"/>
          <w:szCs w:val="20"/>
        </w:rPr>
        <w:ptab w:relativeTo="margin" w:alignment="right" w:leader="dot"/>
      </w:r>
      <w:r>
        <w:rPr>
          <w:color w:val="555555"/>
          <w:sz w:val="20"/>
          <w:szCs w:val="20"/>
        </w:rPr>
        <w:t>4</w:t>
      </w:r>
    </w:p>
    <w:p w14:paraId="2E266C7D" w14:textId="77777777" w:rsidR="00B05931" w:rsidRDefault="00852AC2">
      <w:pPr>
        <w:spacing w:before="60" w:after="40"/>
        <w:ind w:left="360"/>
      </w:pPr>
      <w:proofErr w:type="gramStart"/>
      <w:r>
        <w:rPr>
          <w:color w:val="555555"/>
          <w:sz w:val="20"/>
          <w:szCs w:val="20"/>
        </w:rPr>
        <w:t>2.3  Order</w:t>
      </w:r>
      <w:proofErr w:type="gramEnd"/>
      <w:r>
        <w:rPr>
          <w:color w:val="555555"/>
          <w:sz w:val="20"/>
          <w:szCs w:val="20"/>
        </w:rPr>
        <w:t xml:space="preserve"> Status Distribution</w:t>
      </w:r>
      <w:r>
        <w:rPr>
          <w:color w:val="555555"/>
          <w:sz w:val="20"/>
          <w:szCs w:val="20"/>
        </w:rPr>
        <w:ptab w:relativeTo="margin" w:alignment="right" w:leader="dot"/>
      </w:r>
      <w:r>
        <w:rPr>
          <w:color w:val="555555"/>
          <w:sz w:val="20"/>
          <w:szCs w:val="20"/>
        </w:rPr>
        <w:t>5</w:t>
      </w:r>
    </w:p>
    <w:p w14:paraId="131CD646" w14:textId="77777777" w:rsidR="00B05931" w:rsidRDefault="00852AC2">
      <w:pPr>
        <w:spacing w:before="60" w:after="40"/>
        <w:ind w:left="360"/>
      </w:pPr>
      <w:proofErr w:type="gramStart"/>
      <w:r>
        <w:rPr>
          <w:color w:val="555555"/>
          <w:sz w:val="20"/>
          <w:szCs w:val="20"/>
        </w:rPr>
        <w:t>2.4  Top</w:t>
      </w:r>
      <w:proofErr w:type="gramEnd"/>
      <w:r>
        <w:rPr>
          <w:color w:val="555555"/>
          <w:sz w:val="20"/>
          <w:szCs w:val="20"/>
        </w:rPr>
        <w:t xml:space="preserve"> 10 Products by Revenue</w:t>
      </w:r>
      <w:r>
        <w:rPr>
          <w:color w:val="555555"/>
          <w:sz w:val="20"/>
          <w:szCs w:val="20"/>
        </w:rPr>
        <w:ptab w:relativeTo="margin" w:alignment="right" w:leader="dot"/>
      </w:r>
      <w:r>
        <w:rPr>
          <w:color w:val="555555"/>
          <w:sz w:val="20"/>
          <w:szCs w:val="20"/>
        </w:rPr>
        <w:t>5</w:t>
      </w:r>
    </w:p>
    <w:p w14:paraId="5454ED42" w14:textId="77777777" w:rsidR="00B05931" w:rsidRDefault="00852AC2">
      <w:pPr>
        <w:spacing w:before="60" w:after="40"/>
        <w:ind w:left="360"/>
      </w:pPr>
      <w:proofErr w:type="gramStart"/>
      <w:r>
        <w:rPr>
          <w:color w:val="555555"/>
          <w:sz w:val="20"/>
          <w:szCs w:val="20"/>
        </w:rPr>
        <w:t>2.5  Monthly</w:t>
      </w:r>
      <w:proofErr w:type="gramEnd"/>
      <w:r>
        <w:rPr>
          <w:color w:val="555555"/>
          <w:sz w:val="20"/>
          <w:szCs w:val="20"/>
        </w:rPr>
        <w:t xml:space="preserve"> Trends — 2025</w:t>
      </w:r>
      <w:r>
        <w:rPr>
          <w:color w:val="555555"/>
          <w:sz w:val="20"/>
          <w:szCs w:val="20"/>
        </w:rPr>
        <w:ptab w:relativeTo="margin" w:alignment="right" w:leader="dot"/>
      </w:r>
      <w:r>
        <w:rPr>
          <w:color w:val="555555"/>
          <w:sz w:val="20"/>
          <w:szCs w:val="20"/>
        </w:rPr>
        <w:t>6</w:t>
      </w:r>
    </w:p>
    <w:p w14:paraId="591ECECC" w14:textId="77777777" w:rsidR="00B05931" w:rsidRDefault="00852AC2">
      <w:pPr>
        <w:spacing w:before="60" w:after="40"/>
        <w:ind w:left="360"/>
      </w:pPr>
      <w:proofErr w:type="gramStart"/>
      <w:r>
        <w:rPr>
          <w:color w:val="555555"/>
          <w:sz w:val="20"/>
          <w:szCs w:val="20"/>
        </w:rPr>
        <w:t>2.6  Payment</w:t>
      </w:r>
      <w:proofErr w:type="gramEnd"/>
      <w:r>
        <w:rPr>
          <w:color w:val="555555"/>
          <w:sz w:val="20"/>
          <w:szCs w:val="20"/>
        </w:rPr>
        <w:t xml:space="preserve"> Method Analysis</w:t>
      </w:r>
      <w:r>
        <w:rPr>
          <w:color w:val="555555"/>
          <w:sz w:val="20"/>
          <w:szCs w:val="20"/>
        </w:rPr>
        <w:ptab w:relativeTo="margin" w:alignment="right" w:leader="dot"/>
      </w:r>
      <w:r>
        <w:rPr>
          <w:color w:val="555555"/>
          <w:sz w:val="20"/>
          <w:szCs w:val="20"/>
        </w:rPr>
        <w:t>6</w:t>
      </w:r>
    </w:p>
    <w:p w14:paraId="0DF04F70" w14:textId="77777777" w:rsidR="00B05931" w:rsidRDefault="00852AC2">
      <w:pPr>
        <w:spacing w:before="120" w:after="60"/>
      </w:pPr>
      <w:r>
        <w:rPr>
          <w:b/>
          <w:bCs/>
          <w:color w:val="6B2D8B"/>
          <w:sz w:val="22"/>
          <w:szCs w:val="22"/>
        </w:rPr>
        <w:t>3. Key Performance Indicators</w:t>
      </w:r>
      <w:r>
        <w:rPr>
          <w:color w:val="6B2D8B"/>
          <w:sz w:val="22"/>
          <w:szCs w:val="22"/>
        </w:rPr>
        <w:ptab w:relativeTo="margin" w:alignment="right" w:leader="dot"/>
      </w:r>
      <w:r>
        <w:rPr>
          <w:color w:val="6B2D8B"/>
          <w:sz w:val="22"/>
          <w:szCs w:val="22"/>
        </w:rPr>
        <w:t>7</w:t>
      </w:r>
    </w:p>
    <w:p w14:paraId="572441AB" w14:textId="77777777" w:rsidR="00B05931" w:rsidRDefault="00852AC2">
      <w:pPr>
        <w:spacing w:before="120" w:after="60"/>
      </w:pPr>
      <w:r>
        <w:rPr>
          <w:b/>
          <w:bCs/>
          <w:color w:val="6B2D8B"/>
          <w:sz w:val="22"/>
          <w:szCs w:val="22"/>
        </w:rPr>
        <w:t>4. Business Insights</w:t>
      </w:r>
      <w:r>
        <w:rPr>
          <w:color w:val="6B2D8B"/>
          <w:sz w:val="22"/>
          <w:szCs w:val="22"/>
        </w:rPr>
        <w:ptab w:relativeTo="margin" w:alignment="right" w:leader="dot"/>
      </w:r>
      <w:r>
        <w:rPr>
          <w:color w:val="6B2D8B"/>
          <w:sz w:val="22"/>
          <w:szCs w:val="22"/>
        </w:rPr>
        <w:t>8</w:t>
      </w:r>
    </w:p>
    <w:p w14:paraId="24F82FFD" w14:textId="77777777" w:rsidR="00B05931" w:rsidRDefault="00852AC2">
      <w:pPr>
        <w:spacing w:before="60" w:after="40"/>
        <w:ind w:left="360"/>
      </w:pPr>
      <w:proofErr w:type="gramStart"/>
      <w:r>
        <w:rPr>
          <w:color w:val="555555"/>
          <w:sz w:val="20"/>
          <w:szCs w:val="20"/>
        </w:rPr>
        <w:t>4.1  Strengths</w:t>
      </w:r>
      <w:proofErr w:type="gramEnd"/>
      <w:r>
        <w:rPr>
          <w:color w:val="555555"/>
          <w:sz w:val="20"/>
          <w:szCs w:val="20"/>
        </w:rPr>
        <w:ptab w:relativeTo="margin" w:alignment="right" w:leader="dot"/>
      </w:r>
      <w:r>
        <w:rPr>
          <w:color w:val="555555"/>
          <w:sz w:val="20"/>
          <w:szCs w:val="20"/>
        </w:rPr>
        <w:t>8</w:t>
      </w:r>
    </w:p>
    <w:p w14:paraId="6055C1D8" w14:textId="77777777" w:rsidR="00B05931" w:rsidRDefault="00852AC2">
      <w:pPr>
        <w:spacing w:before="60" w:after="40"/>
        <w:ind w:left="360"/>
      </w:pPr>
      <w:proofErr w:type="gramStart"/>
      <w:r>
        <w:rPr>
          <w:color w:val="555555"/>
          <w:sz w:val="20"/>
          <w:szCs w:val="20"/>
        </w:rPr>
        <w:t>4.2  Weaknesses</w:t>
      </w:r>
      <w:proofErr w:type="gramEnd"/>
      <w:r>
        <w:rPr>
          <w:color w:val="555555"/>
          <w:sz w:val="20"/>
          <w:szCs w:val="20"/>
        </w:rPr>
        <w:t xml:space="preserve"> &amp; Risk Areas</w:t>
      </w:r>
      <w:r>
        <w:rPr>
          <w:color w:val="555555"/>
          <w:sz w:val="20"/>
          <w:szCs w:val="20"/>
        </w:rPr>
        <w:ptab w:relativeTo="margin" w:alignment="right" w:leader="dot"/>
      </w:r>
      <w:r>
        <w:rPr>
          <w:color w:val="555555"/>
          <w:sz w:val="20"/>
          <w:szCs w:val="20"/>
        </w:rPr>
        <w:t>8</w:t>
      </w:r>
    </w:p>
    <w:p w14:paraId="54FA5981" w14:textId="77777777" w:rsidR="00B05931" w:rsidRDefault="00852AC2">
      <w:pPr>
        <w:spacing w:before="60" w:after="40"/>
        <w:ind w:left="360"/>
      </w:pPr>
      <w:proofErr w:type="gramStart"/>
      <w:r>
        <w:rPr>
          <w:color w:val="555555"/>
          <w:sz w:val="20"/>
          <w:szCs w:val="20"/>
        </w:rPr>
        <w:t>4.3  Opportunities</w:t>
      </w:r>
      <w:proofErr w:type="gramEnd"/>
      <w:r>
        <w:rPr>
          <w:color w:val="555555"/>
          <w:sz w:val="20"/>
          <w:szCs w:val="20"/>
        </w:rPr>
        <w:ptab w:relativeTo="margin" w:alignment="right" w:leader="dot"/>
      </w:r>
      <w:r>
        <w:rPr>
          <w:color w:val="555555"/>
          <w:sz w:val="20"/>
          <w:szCs w:val="20"/>
        </w:rPr>
        <w:t>8</w:t>
      </w:r>
    </w:p>
    <w:p w14:paraId="23488222" w14:textId="77777777" w:rsidR="00B05931" w:rsidRDefault="00852AC2">
      <w:pPr>
        <w:spacing w:before="120" w:after="60"/>
      </w:pPr>
      <w:r>
        <w:rPr>
          <w:b/>
          <w:bCs/>
          <w:color w:val="6B2D8B"/>
          <w:sz w:val="22"/>
          <w:szCs w:val="22"/>
        </w:rPr>
        <w:t>5. Recommendations</w:t>
      </w:r>
      <w:r>
        <w:rPr>
          <w:color w:val="6B2D8B"/>
          <w:sz w:val="22"/>
          <w:szCs w:val="22"/>
        </w:rPr>
        <w:ptab w:relativeTo="margin" w:alignment="right" w:leader="dot"/>
      </w:r>
      <w:r>
        <w:rPr>
          <w:color w:val="6B2D8B"/>
          <w:sz w:val="22"/>
          <w:szCs w:val="22"/>
        </w:rPr>
        <w:t>9</w:t>
      </w:r>
    </w:p>
    <w:p w14:paraId="2FB504C8" w14:textId="77777777" w:rsidR="00B05931" w:rsidRDefault="00852AC2">
      <w:pPr>
        <w:spacing w:before="120" w:after="60"/>
      </w:pPr>
      <w:r>
        <w:rPr>
          <w:b/>
          <w:bCs/>
          <w:color w:val="6B2D8B"/>
          <w:sz w:val="22"/>
          <w:szCs w:val="22"/>
        </w:rPr>
        <w:t>6. Conclusion</w:t>
      </w:r>
      <w:r>
        <w:rPr>
          <w:color w:val="6B2D8B"/>
          <w:sz w:val="22"/>
          <w:szCs w:val="22"/>
        </w:rPr>
        <w:ptab w:relativeTo="margin" w:alignment="right" w:leader="dot"/>
      </w:r>
      <w:r>
        <w:rPr>
          <w:color w:val="6B2D8B"/>
          <w:sz w:val="22"/>
          <w:szCs w:val="22"/>
        </w:rPr>
        <w:t>10</w:t>
      </w:r>
    </w:p>
    <w:p w14:paraId="4E85297F" w14:textId="77777777" w:rsidR="00B05931" w:rsidRDefault="00852AC2">
      <w:pPr>
        <w:spacing w:before="120" w:after="60"/>
      </w:pPr>
      <w:r>
        <w:rPr>
          <w:b/>
          <w:bCs/>
          <w:color w:val="6B2D8B"/>
          <w:sz w:val="22"/>
          <w:szCs w:val="22"/>
        </w:rPr>
        <w:t>Appendix: Quick Reference Data Tables</w:t>
      </w:r>
      <w:r>
        <w:rPr>
          <w:color w:val="6B2D8B"/>
          <w:sz w:val="22"/>
          <w:szCs w:val="22"/>
        </w:rPr>
        <w:ptab w:relativeTo="margin" w:alignment="right" w:leader="dot"/>
      </w:r>
      <w:r>
        <w:rPr>
          <w:color w:val="6B2D8B"/>
          <w:sz w:val="22"/>
          <w:szCs w:val="22"/>
        </w:rPr>
        <w:t>11</w:t>
      </w:r>
    </w:p>
    <w:p w14:paraId="6595D9DB" w14:textId="77777777" w:rsidR="00B05931" w:rsidRDefault="00852AC2">
      <w:r>
        <w:br w:type="page"/>
      </w:r>
    </w:p>
    <w:p w14:paraId="76D01A92" w14:textId="77777777" w:rsidR="00EA7A9E" w:rsidRDefault="00EA7A9E">
      <w:pPr>
        <w:pStyle w:val="Heading1"/>
      </w:pPr>
    </w:p>
    <w:p w14:paraId="776D9B4E" w14:textId="77777777" w:rsidR="00EA7A9E" w:rsidRDefault="00EA7A9E">
      <w:pPr>
        <w:pStyle w:val="Heading1"/>
      </w:pPr>
    </w:p>
    <w:p w14:paraId="40D395E7" w14:textId="289857D0" w:rsidR="00B05931" w:rsidRDefault="00852AC2">
      <w:pPr>
        <w:pStyle w:val="Heading1"/>
      </w:pPr>
      <w:r>
        <w:t>1. Introduction</w:t>
      </w:r>
    </w:p>
    <w:p w14:paraId="102A959D" w14:textId="77777777" w:rsidR="00B05931" w:rsidRDefault="00B05931">
      <w:pPr>
        <w:pBdr>
          <w:bottom w:val="single" w:sz="4" w:space="1" w:color="D63384"/>
        </w:pBdr>
        <w:spacing w:before="120" w:after="140"/>
      </w:pPr>
    </w:p>
    <w:p w14:paraId="4CBA6194" w14:textId="77777777" w:rsidR="00B05931" w:rsidRDefault="00852AC2">
      <w:pPr>
        <w:pStyle w:val="Heading2"/>
      </w:pPr>
      <w:r>
        <w:t>1.1 Purpose of the Report</w:t>
      </w:r>
    </w:p>
    <w:p w14:paraId="253E57CA" w14:textId="77777777" w:rsidR="00B05931" w:rsidRDefault="00852AC2">
      <w:pPr>
        <w:spacing w:before="60" w:after="110" w:line="298" w:lineRule="auto"/>
        <w:jc w:val="both"/>
      </w:pPr>
      <w:r>
        <w:rPr>
          <w:color w:val="555555"/>
        </w:rPr>
        <w:t>This report — identified as FY23-25 — presents a structured analysis of an E-Commerce business dashboard built in Microsoft Excel. It consolidates transactional data spanning financial years 2023 through 2025, covering product categories, order statuses, and payment methods. The goal is to interpret the visuals, surface meaningful insights, and propose actionable recommendations.</w:t>
      </w:r>
    </w:p>
    <w:p w14:paraId="63BA9EDF" w14:textId="77777777" w:rsidR="00B05931" w:rsidRDefault="00852AC2">
      <w:pPr>
        <w:spacing w:before="60" w:after="110" w:line="298" w:lineRule="auto"/>
        <w:jc w:val="both"/>
      </w:pPr>
      <w:r>
        <w:rPr>
          <w:color w:val="555555"/>
        </w:rPr>
        <w:t>The report is designed for both academic submission and professional review, walking through each dashboard component from headline KPIs to granular monthly patterns.</w:t>
      </w:r>
    </w:p>
    <w:p w14:paraId="096DBD96" w14:textId="77777777" w:rsidR="00B05931" w:rsidRDefault="00B05931">
      <w:pPr>
        <w:spacing w:before="80"/>
      </w:pPr>
    </w:p>
    <w:p w14:paraId="520EDE89" w14:textId="77777777" w:rsidR="00B05931" w:rsidRDefault="00852AC2">
      <w:pPr>
        <w:pStyle w:val="Heading2"/>
      </w:pPr>
      <w:r>
        <w:t>1.2 Why Data Analysis Matters in E-Commerce</w:t>
      </w:r>
    </w:p>
    <w:p w14:paraId="1F7C0CB5" w14:textId="77777777" w:rsidR="00B05931" w:rsidRDefault="00852AC2">
      <w:pPr>
        <w:spacing w:before="60" w:after="110" w:line="298" w:lineRule="auto"/>
        <w:jc w:val="both"/>
      </w:pPr>
      <w:r>
        <w:rPr>
          <w:color w:val="555555"/>
        </w:rPr>
        <w:t>Digital retail generates high-velocity transactional data that, left unanalysed, becomes noise. Effective analysis converts that noise into signal — revealing the most profitable categories, peak demand windows, fulfilment bottlenecks, and payment preferences that shape customer experience and margin.</w:t>
      </w:r>
    </w:p>
    <w:p w14:paraId="7500348C" w14:textId="77777777" w:rsidR="00B05931" w:rsidRDefault="00852AC2">
      <w:pPr>
        <w:spacing w:before="60" w:after="110" w:line="298" w:lineRule="auto"/>
        <w:jc w:val="both"/>
      </w:pPr>
      <w:r>
        <w:rPr>
          <w:color w:val="555555"/>
        </w:rPr>
        <w:t>Microsoft Excel dashboards serve as an accessible first layer of business intelligence, offering visual summaries that accelerate decision-making. This report harnesses that capability to move from what the data shows, to why it matters, to what the business should do next.</w:t>
      </w:r>
    </w:p>
    <w:p w14:paraId="23ECD2ED" w14:textId="77777777" w:rsidR="00B05931" w:rsidRDefault="00B05931">
      <w:pPr>
        <w:spacing w:before="80"/>
      </w:pPr>
    </w:p>
    <w:p w14:paraId="4F648F82" w14:textId="77777777" w:rsidR="00B05931" w:rsidRDefault="00852AC2">
      <w:pPr>
        <w:pStyle w:val="Heading1"/>
      </w:pPr>
      <w:r>
        <w:t>2. Dashboard Overview &amp; Data Story</w:t>
      </w:r>
    </w:p>
    <w:p w14:paraId="5FE25E05" w14:textId="77777777" w:rsidR="00B05931" w:rsidRDefault="00B05931">
      <w:pPr>
        <w:pBdr>
          <w:bottom w:val="single" w:sz="4" w:space="1" w:color="D63384"/>
        </w:pBdr>
        <w:spacing w:before="120" w:after="140"/>
      </w:pPr>
    </w:p>
    <w:p w14:paraId="0A3DBFF5" w14:textId="77777777" w:rsidR="00B05931" w:rsidRDefault="00852AC2">
      <w:pPr>
        <w:spacing w:before="60" w:after="110" w:line="298" w:lineRule="auto"/>
        <w:jc w:val="both"/>
      </w:pPr>
      <w:r>
        <w:rPr>
          <w:color w:val="555555"/>
        </w:rPr>
        <w:t>This section presents each panel of the dashboard alongside its narrative interpretation. Charts are reproduced directly below the analysis so the visual evidence sits next to the insight it supports.</w:t>
      </w:r>
    </w:p>
    <w:p w14:paraId="7DF9E12F" w14:textId="77777777" w:rsidR="00B05931" w:rsidRDefault="00B05931">
      <w:pPr>
        <w:spacing w:before="80"/>
      </w:pPr>
    </w:p>
    <w:p w14:paraId="7640B757" w14:textId="77777777" w:rsidR="00B05931" w:rsidRDefault="00852AC2">
      <w:pPr>
        <w:pStyle w:val="Heading2"/>
      </w:pPr>
      <w:r>
        <w:t>2.1 Dashboard at a Glance</w:t>
      </w:r>
    </w:p>
    <w:p w14:paraId="2BC67AC5" w14:textId="77777777" w:rsidR="00B05931" w:rsidRDefault="00852AC2">
      <w:pPr>
        <w:spacing w:before="60" w:after="110" w:line="298" w:lineRule="auto"/>
        <w:jc w:val="both"/>
      </w:pPr>
      <w:r>
        <w:rPr>
          <w:color w:val="555555"/>
        </w:rPr>
        <w:t>The full dashboard below provides a consolidated performance snapshot for FY23-25. Three horizontal zones organise the content: a KPI summary row at the top, category and product analytics in the middle, and time-trend charts at the bottom. An interactive slicer panel on the right enables filtering by Order Date, Category, Status, and Payment Method.</w:t>
      </w:r>
    </w:p>
    <w:p w14:paraId="78609C46" w14:textId="77777777" w:rsidR="00B05931" w:rsidRDefault="00852AC2">
      <w:pPr>
        <w:spacing w:before="80" w:after="40"/>
        <w:jc w:val="center"/>
      </w:pPr>
      <w:r>
        <w:rPr>
          <w:noProof/>
        </w:rPr>
        <w:lastRenderedPageBreak/>
        <w:drawing>
          <wp:inline distT="0" distB="0" distL="0" distR="0" wp14:anchorId="6F6C96BC" wp14:editId="33DF96CB">
            <wp:extent cx="5715000" cy="2857500"/>
            <wp:effectExtent l="0" t="0" r="0" b="0"/>
            <wp:docPr id="1" name="FY23-25 Dashboard" descr="FY23-25 Dashboard" title="FY23-25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57500"/>
                    </a:xfrm>
                    <a:prstGeom prst="rect">
                      <a:avLst/>
                    </a:prstGeom>
                  </pic:spPr>
                </pic:pic>
              </a:graphicData>
            </a:graphic>
          </wp:inline>
        </w:drawing>
      </w:r>
    </w:p>
    <w:p w14:paraId="2D5818ED" w14:textId="77777777" w:rsidR="00B05931" w:rsidRDefault="00852AC2">
      <w:pPr>
        <w:spacing w:before="30" w:after="120"/>
        <w:jc w:val="center"/>
      </w:pPr>
      <w:r>
        <w:rPr>
          <w:i/>
          <w:iCs/>
          <w:color w:val="999999"/>
          <w:sz w:val="17"/>
          <w:szCs w:val="17"/>
        </w:rPr>
        <w:t>Figure 1 — E-Commerce Excel Dashboard, FY23-25 Full View</w:t>
      </w:r>
    </w:p>
    <w:p w14:paraId="27C0FA5D" w14:textId="77777777" w:rsidR="00B05931" w:rsidRDefault="00B05931">
      <w:pPr>
        <w:spacing w:before="80"/>
      </w:pPr>
    </w:p>
    <w:p w14:paraId="31519974" w14:textId="77777777" w:rsidR="00B05931" w:rsidRDefault="00852AC2">
      <w:pPr>
        <w:pStyle w:val="Heading2"/>
      </w:pPr>
      <w:r>
        <w:t>2.2 Revenue by Category</w:t>
      </w:r>
    </w:p>
    <w:p w14:paraId="2278BE8D" w14:textId="77777777" w:rsidR="00B05931" w:rsidRDefault="00852AC2">
      <w:pPr>
        <w:spacing w:before="60" w:after="110" w:line="298" w:lineRule="auto"/>
        <w:jc w:val="both"/>
      </w:pPr>
      <w:r>
        <w:rPr>
          <w:color w:val="555555"/>
        </w:rPr>
        <w:t>Electronics leads with ₹44,177, narrowly ahead of Clothing at ₹43,181. These two categories together contribute nearly half of total revenue, establishing them as the twin commercial pillars of the business. Home (₹34,395) and Books (₹34,000) are closely matched, collectively adding another 37%. Sports trails at ₹27,325 — the only category falling meaningfully below the others.</w:t>
      </w:r>
    </w:p>
    <w:p w14:paraId="0D32DEAC" w14:textId="77777777" w:rsidR="00B05931" w:rsidRDefault="00852AC2">
      <w:pPr>
        <w:spacing w:before="60" w:after="110" w:line="298" w:lineRule="auto"/>
        <w:jc w:val="both"/>
      </w:pPr>
      <w:r>
        <w:rPr>
          <w:color w:val="555555"/>
        </w:rPr>
        <w:t>The story here is one of healthy diversification without a dominant flagship. No single category risks bringing down the whole business if it declines, but equally, none is accelerating fast enough to act as an obvious lever for step-change growth. Sports stands out as either a problem to fix or an opportunity to unlock.</w:t>
      </w:r>
    </w:p>
    <w:p w14:paraId="73952FD8" w14:textId="77777777" w:rsidR="00B05931" w:rsidRDefault="00852AC2">
      <w:pPr>
        <w:spacing w:before="80" w:after="40"/>
        <w:jc w:val="center"/>
      </w:pPr>
      <w:r>
        <w:rPr>
          <w:noProof/>
        </w:rPr>
        <w:drawing>
          <wp:inline distT="0" distB="0" distL="0" distR="0" wp14:anchorId="23A8C430" wp14:editId="1C7B2222">
            <wp:extent cx="4572000" cy="2133600"/>
            <wp:effectExtent l="0" t="0" r="0" b="0"/>
            <wp:docPr id="2" name="Revenue by Category" descr="Revenue by Category" title="Revenue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133600"/>
                    </a:xfrm>
                    <a:prstGeom prst="rect">
                      <a:avLst/>
                    </a:prstGeom>
                  </pic:spPr>
                </pic:pic>
              </a:graphicData>
            </a:graphic>
          </wp:inline>
        </w:drawing>
      </w:r>
    </w:p>
    <w:p w14:paraId="3D59569F" w14:textId="77777777" w:rsidR="00B05931" w:rsidRDefault="00852AC2">
      <w:pPr>
        <w:spacing w:before="30" w:after="120"/>
        <w:jc w:val="center"/>
      </w:pPr>
      <w:r>
        <w:rPr>
          <w:i/>
          <w:iCs/>
          <w:color w:val="999999"/>
          <w:sz w:val="17"/>
          <w:szCs w:val="17"/>
        </w:rPr>
        <w:t>Figure 2 — Revenue by Category (₹) — FY23-25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5931" w14:paraId="34093622" w14:textId="77777777">
        <w:tc>
          <w:tcPr>
            <w:tcW w:w="0" w:type="auto"/>
            <w:tcBorders>
              <w:top w:val="single" w:sz="3" w:space="0" w:color="6B2D8B"/>
              <w:left w:val="thick" w:sz="12" w:space="0" w:color="D63384"/>
              <w:bottom w:val="single" w:sz="3" w:space="0" w:color="6B2D8B"/>
              <w:right w:val="none" w:sz="0" w:space="0" w:color="FFFFFF"/>
            </w:tcBorders>
            <w:shd w:val="clear" w:color="auto" w:fill="F3E8FF"/>
            <w:tcMar>
              <w:top w:w="100" w:type="dxa"/>
              <w:left w:w="180" w:type="dxa"/>
              <w:bottom w:w="100" w:type="dxa"/>
              <w:right w:w="180" w:type="dxa"/>
            </w:tcMar>
          </w:tcPr>
          <w:p w14:paraId="275CF3FF" w14:textId="77777777" w:rsidR="00B05931" w:rsidRDefault="00852AC2">
            <w:r>
              <w:rPr>
                <w:i/>
                <w:iCs/>
                <w:color w:val="1A1A2E"/>
              </w:rPr>
              <w:t>Key Insight: Electronics + Clothing = ~47% of total revenue. Sports is the only category below ₹30K.</w:t>
            </w:r>
          </w:p>
        </w:tc>
      </w:tr>
    </w:tbl>
    <w:p w14:paraId="606E8E8A" w14:textId="77777777" w:rsidR="00B05931" w:rsidRDefault="00B05931">
      <w:pPr>
        <w:spacing w:before="80"/>
      </w:pPr>
    </w:p>
    <w:p w14:paraId="542D0233" w14:textId="77777777" w:rsidR="00EA7A9E" w:rsidRDefault="00EA7A9E">
      <w:pPr>
        <w:pStyle w:val="Heading2"/>
      </w:pPr>
    </w:p>
    <w:p w14:paraId="4BA9C47A" w14:textId="0331BA3E" w:rsidR="00EA7A9E" w:rsidRDefault="00852AC2">
      <w:pPr>
        <w:pStyle w:val="Heading2"/>
      </w:pPr>
      <w:r>
        <w:lastRenderedPageBreak/>
        <w:t>2.3 Order Status Distribution</w:t>
      </w:r>
    </w:p>
    <w:p w14:paraId="3C99D6C1" w14:textId="77777777" w:rsidR="00B05931" w:rsidRDefault="00852AC2">
      <w:pPr>
        <w:spacing w:before="60" w:after="110" w:line="298" w:lineRule="auto"/>
        <w:jc w:val="both"/>
      </w:pPr>
      <w:r>
        <w:rPr>
          <w:color w:val="555555"/>
        </w:rPr>
        <w:t>The order status breakdown is the most operationally concerning section of the dashboard. Processing orders account for 30% — nearly one in three orders has not yet been fulfilled. Returns stand at 24% and cancellations at 17%, meaning over 40% of all initiated orders never reach a successful delivery. Delivered orders represent only 9% of the total.</w:t>
      </w:r>
    </w:p>
    <w:p w14:paraId="74D07018" w14:textId="77777777" w:rsidR="00B05931" w:rsidRDefault="00852AC2">
      <w:pPr>
        <w:spacing w:before="60" w:after="110" w:line="298" w:lineRule="auto"/>
        <w:jc w:val="both"/>
      </w:pPr>
      <w:r>
        <w:rPr>
          <w:color w:val="555555"/>
        </w:rPr>
        <w:t>This data tells a cautionary story: the business is generating orders but struggling to convert them into completed, retained transactions. High return rates typically signal product-description mismatches or quality issues. High cancellation rates point to checkout friction, payment trust gaps, or post-order regret. Combined, these figures erode the true revenue potential significantly.</w:t>
      </w:r>
    </w:p>
    <w:p w14:paraId="7B693B95" w14:textId="77777777" w:rsidR="00B05931" w:rsidRDefault="00852AC2">
      <w:pPr>
        <w:spacing w:before="80" w:after="40"/>
        <w:jc w:val="center"/>
      </w:pPr>
      <w:r>
        <w:rPr>
          <w:noProof/>
        </w:rPr>
        <w:drawing>
          <wp:inline distT="0" distB="0" distL="0" distR="0" wp14:anchorId="3AD92AC6" wp14:editId="384ABF27">
            <wp:extent cx="3333750" cy="2362200"/>
            <wp:effectExtent l="0" t="0" r="0" b="0"/>
            <wp:docPr id="3" name="Order Status Donut" descr="Order Status Donut" title="Order Status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2362200"/>
                    </a:xfrm>
                    <a:prstGeom prst="rect">
                      <a:avLst/>
                    </a:prstGeom>
                  </pic:spPr>
                </pic:pic>
              </a:graphicData>
            </a:graphic>
          </wp:inline>
        </w:drawing>
      </w:r>
    </w:p>
    <w:p w14:paraId="0F1FAE81" w14:textId="77777777" w:rsidR="00B05931" w:rsidRDefault="00852AC2">
      <w:pPr>
        <w:spacing w:before="30" w:after="120"/>
        <w:jc w:val="center"/>
      </w:pPr>
      <w:r>
        <w:rPr>
          <w:i/>
          <w:iCs/>
          <w:color w:val="999999"/>
          <w:sz w:val="17"/>
          <w:szCs w:val="17"/>
        </w:rPr>
        <w:t>Figure 3 — Order Status Distribution (% of Total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5931" w14:paraId="4DF18DE1" w14:textId="77777777">
        <w:tc>
          <w:tcPr>
            <w:tcW w:w="0" w:type="auto"/>
            <w:tcBorders>
              <w:top w:val="single" w:sz="3" w:space="0" w:color="6B2D8B"/>
              <w:left w:val="thick" w:sz="12" w:space="0" w:color="D63384"/>
              <w:bottom w:val="single" w:sz="3" w:space="0" w:color="6B2D8B"/>
              <w:right w:val="none" w:sz="0" w:space="0" w:color="FFFFFF"/>
            </w:tcBorders>
            <w:shd w:val="clear" w:color="auto" w:fill="FFF0F5"/>
            <w:tcMar>
              <w:top w:w="100" w:type="dxa"/>
              <w:left w:w="180" w:type="dxa"/>
              <w:bottom w:w="100" w:type="dxa"/>
              <w:right w:w="180" w:type="dxa"/>
            </w:tcMar>
          </w:tcPr>
          <w:p w14:paraId="4D764994" w14:textId="77777777" w:rsidR="00B05931" w:rsidRDefault="00852AC2">
            <w:r>
              <w:rPr>
                <w:i/>
                <w:iCs/>
                <w:color w:val="1A1A2E"/>
              </w:rPr>
              <w:t>Key Insight: 41% of orders are either returned or cancelled. Only 9% are confirmed delivered — a critical fulfilment gap.</w:t>
            </w:r>
          </w:p>
        </w:tc>
      </w:tr>
    </w:tbl>
    <w:p w14:paraId="46DCC5C8" w14:textId="77777777" w:rsidR="00B05931" w:rsidRDefault="00B05931">
      <w:pPr>
        <w:spacing w:before="80"/>
      </w:pPr>
    </w:p>
    <w:p w14:paraId="1E9C69B7" w14:textId="77777777" w:rsidR="00B05931" w:rsidRDefault="00852AC2">
      <w:pPr>
        <w:pStyle w:val="Heading2"/>
      </w:pPr>
      <w:r>
        <w:t>2.4 Top 10 Products by Revenue</w:t>
      </w:r>
    </w:p>
    <w:p w14:paraId="71906612" w14:textId="77777777" w:rsidR="00B05931" w:rsidRDefault="00852AC2">
      <w:pPr>
        <w:spacing w:before="60" w:after="110" w:line="298" w:lineRule="auto"/>
        <w:jc w:val="both"/>
      </w:pPr>
      <w:r>
        <w:rPr>
          <w:color w:val="555555"/>
        </w:rPr>
        <w:t>The Blender stands alone as the highest-revenue product at ₹31,000 — nearly double the next-best performers, Shoes and Comics, which each contribute ₹18,000. Lamp (₹14,000) and Basketball (₹12,000) form the mid-tier, while Biography, Vacuum, Fiction, Science, and T-shirt each generate approximately ₹8,000–₹10,000.</w:t>
      </w:r>
    </w:p>
    <w:p w14:paraId="4BA8C383" w14:textId="77777777" w:rsidR="00B05931" w:rsidRDefault="00852AC2">
      <w:pPr>
        <w:spacing w:before="60" w:after="110" w:line="298" w:lineRule="auto"/>
        <w:jc w:val="both"/>
      </w:pPr>
      <w:r>
        <w:rPr>
          <w:color w:val="555555"/>
        </w:rPr>
        <w:t>The Blender's outsized contribution reveals a customer segment willing to invest in premium home appliances. It also creates a single-product dependency risk — if Blender sales decline due to supply issues or competition, total revenue could drop sharply. The business would benefit from cultivating additional high-value products to spread this concentration risk.</w:t>
      </w:r>
    </w:p>
    <w:p w14:paraId="246165EA" w14:textId="77777777" w:rsidR="00B05931" w:rsidRDefault="00852AC2">
      <w:pPr>
        <w:spacing w:before="80" w:after="40"/>
        <w:jc w:val="center"/>
      </w:pPr>
      <w:r>
        <w:rPr>
          <w:noProof/>
        </w:rPr>
        <w:lastRenderedPageBreak/>
        <w:drawing>
          <wp:inline distT="0" distB="0" distL="0" distR="0" wp14:anchorId="2694111D" wp14:editId="19614620">
            <wp:extent cx="4572000" cy="2514600"/>
            <wp:effectExtent l="0" t="0" r="0" b="0"/>
            <wp:docPr id="4" name="Top Products" descr="Top Products" title="Top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14600"/>
                    </a:xfrm>
                    <a:prstGeom prst="rect">
                      <a:avLst/>
                    </a:prstGeom>
                  </pic:spPr>
                </pic:pic>
              </a:graphicData>
            </a:graphic>
          </wp:inline>
        </w:drawing>
      </w:r>
    </w:p>
    <w:p w14:paraId="478F7602" w14:textId="77777777" w:rsidR="00B05931" w:rsidRDefault="00852AC2">
      <w:pPr>
        <w:spacing w:before="30" w:after="120"/>
        <w:jc w:val="center"/>
      </w:pPr>
      <w:r>
        <w:rPr>
          <w:i/>
          <w:iCs/>
          <w:color w:val="999999"/>
          <w:sz w:val="17"/>
          <w:szCs w:val="17"/>
        </w:rPr>
        <w:t>Figure 4 — Top 10 Products by Revenue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5931" w14:paraId="06A53C79" w14:textId="77777777">
        <w:tc>
          <w:tcPr>
            <w:tcW w:w="0" w:type="auto"/>
            <w:tcBorders>
              <w:top w:val="single" w:sz="3" w:space="0" w:color="6B2D8B"/>
              <w:left w:val="thick" w:sz="12" w:space="0" w:color="D63384"/>
              <w:bottom w:val="single" w:sz="3" w:space="0" w:color="6B2D8B"/>
              <w:right w:val="none" w:sz="0" w:space="0" w:color="FFFFFF"/>
            </w:tcBorders>
            <w:shd w:val="clear" w:color="auto" w:fill="F3E8FF"/>
            <w:tcMar>
              <w:top w:w="100" w:type="dxa"/>
              <w:left w:w="180" w:type="dxa"/>
              <w:bottom w:w="100" w:type="dxa"/>
              <w:right w:w="180" w:type="dxa"/>
            </w:tcMar>
          </w:tcPr>
          <w:p w14:paraId="65AF06D0" w14:textId="77777777" w:rsidR="00B05931" w:rsidRDefault="00852AC2">
            <w:r>
              <w:rPr>
                <w:i/>
                <w:iCs/>
                <w:color w:val="1A1A2E"/>
              </w:rPr>
              <w:t>Key Insight: The Blender alone contributes ~17% of total revenue. The next 9 products combined contribute the remaining 83%.</w:t>
            </w:r>
          </w:p>
        </w:tc>
      </w:tr>
    </w:tbl>
    <w:p w14:paraId="0C0D9872" w14:textId="77777777" w:rsidR="00B05931" w:rsidRDefault="00B05931">
      <w:pPr>
        <w:spacing w:before="80"/>
      </w:pPr>
    </w:p>
    <w:p w14:paraId="009E0085" w14:textId="77777777" w:rsidR="00B05931" w:rsidRDefault="00852AC2">
      <w:pPr>
        <w:pStyle w:val="Heading2"/>
      </w:pPr>
      <w:r>
        <w:t>2.5 Monthly Trends — 2025</w:t>
      </w:r>
    </w:p>
    <w:p w14:paraId="48869D25" w14:textId="77777777" w:rsidR="00B05931" w:rsidRDefault="00852AC2">
      <w:pPr>
        <w:spacing w:before="60" w:after="110" w:line="298" w:lineRule="auto"/>
        <w:jc w:val="both"/>
      </w:pPr>
      <w:r>
        <w:rPr>
          <w:color w:val="555555"/>
        </w:rPr>
        <w:t>The monthly trend data for 2025 reveals a highly irregular demand pattern. Order counts peak in February (13) and again in June (13), suggesting bi-annual promotional cycles or seasonal demand spikes. March sees a sharp drop to just 2 orders — the joint-lowest month alongside November. This February-to-March cliff is stark and warrants investigation.</w:t>
      </w:r>
    </w:p>
    <w:p w14:paraId="6F47826F" w14:textId="77777777" w:rsidR="00B05931" w:rsidRDefault="00852AC2">
      <w:pPr>
        <w:spacing w:before="60" w:after="110" w:line="298" w:lineRule="auto"/>
        <w:jc w:val="both"/>
      </w:pPr>
      <w:r>
        <w:rPr>
          <w:color w:val="555555"/>
        </w:rPr>
        <w:t>October shows a partial recovery to 11 orders, but November — globally a peak retail month due to festive sales events — ends at just 2 orders. This missed November opportunity is a significant commercial gap. The absence of a November peak suggests the business has not yet built a seasonal marketing calendar aligned with consumer buying cycles.</w:t>
      </w:r>
    </w:p>
    <w:p w14:paraId="2563DA81" w14:textId="77777777" w:rsidR="00B05931" w:rsidRDefault="00852AC2">
      <w:pPr>
        <w:spacing w:before="80" w:after="40"/>
        <w:jc w:val="center"/>
      </w:pPr>
      <w:r>
        <w:rPr>
          <w:noProof/>
        </w:rPr>
        <w:drawing>
          <wp:inline distT="0" distB="0" distL="0" distR="0" wp14:anchorId="43CC0321" wp14:editId="04A0EA19">
            <wp:extent cx="4953000" cy="2133600"/>
            <wp:effectExtent l="0" t="0" r="0" b="0"/>
            <wp:docPr id="5" name="Monthly Trend" descr="Monthly Trend" title="Monthly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133600"/>
                    </a:xfrm>
                    <a:prstGeom prst="rect">
                      <a:avLst/>
                    </a:prstGeom>
                  </pic:spPr>
                </pic:pic>
              </a:graphicData>
            </a:graphic>
          </wp:inline>
        </w:drawing>
      </w:r>
    </w:p>
    <w:p w14:paraId="02C25C36" w14:textId="77777777" w:rsidR="00B05931" w:rsidRDefault="00852AC2">
      <w:pPr>
        <w:spacing w:before="30" w:after="120"/>
        <w:jc w:val="center"/>
      </w:pPr>
      <w:r>
        <w:rPr>
          <w:i/>
          <w:iCs/>
          <w:color w:val="999999"/>
          <w:sz w:val="17"/>
          <w:szCs w:val="17"/>
        </w:rPr>
        <w:t>Figure 5 — Monthly Order Count Trend,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5931" w14:paraId="53A28CC3" w14:textId="77777777">
        <w:tc>
          <w:tcPr>
            <w:tcW w:w="0" w:type="auto"/>
            <w:tcBorders>
              <w:top w:val="single" w:sz="3" w:space="0" w:color="6B2D8B"/>
              <w:left w:val="thick" w:sz="12" w:space="0" w:color="D63384"/>
              <w:bottom w:val="single" w:sz="3" w:space="0" w:color="6B2D8B"/>
              <w:right w:val="none" w:sz="0" w:space="0" w:color="FFFFFF"/>
            </w:tcBorders>
            <w:shd w:val="clear" w:color="auto" w:fill="FFF0F5"/>
            <w:tcMar>
              <w:top w:w="100" w:type="dxa"/>
              <w:left w:w="180" w:type="dxa"/>
              <w:bottom w:w="100" w:type="dxa"/>
              <w:right w:w="180" w:type="dxa"/>
            </w:tcMar>
          </w:tcPr>
          <w:p w14:paraId="755832D2" w14:textId="77777777" w:rsidR="00B05931" w:rsidRDefault="00852AC2">
            <w:r>
              <w:rPr>
                <w:i/>
                <w:iCs/>
                <w:color w:val="1A1A2E"/>
              </w:rPr>
              <w:t>Key Insight: February and June are natural peak windows. November is the largest missed opportunity in the calendar.</w:t>
            </w:r>
          </w:p>
        </w:tc>
      </w:tr>
    </w:tbl>
    <w:p w14:paraId="1DFF09F5" w14:textId="77777777" w:rsidR="00B05931" w:rsidRDefault="00B05931">
      <w:pPr>
        <w:spacing w:before="80"/>
      </w:pPr>
    </w:p>
    <w:p w14:paraId="5C2DABCF" w14:textId="77777777" w:rsidR="00B05931" w:rsidRDefault="00852AC2">
      <w:pPr>
        <w:pStyle w:val="Heading2"/>
      </w:pPr>
      <w:r>
        <w:lastRenderedPageBreak/>
        <w:t>2.6 Payment Method Analysis</w:t>
      </w:r>
    </w:p>
    <w:p w14:paraId="5F24F9B1" w14:textId="77777777" w:rsidR="00B05931" w:rsidRDefault="00852AC2">
      <w:pPr>
        <w:spacing w:before="60" w:after="110" w:line="298" w:lineRule="auto"/>
        <w:jc w:val="both"/>
      </w:pPr>
      <w:r>
        <w:rPr>
          <w:color w:val="555555"/>
        </w:rPr>
        <w:t>Cash on Delivery dominates at 41% of revenue, followed by Bank Transfer (26%), PayPal (19%), and Credit Card (14%). The COD majority reflects consumer behaviour typical of price-sensitive or trust-cautious markets, where buyers prefer not to commit funds before physically receiving the product.</w:t>
      </w:r>
    </w:p>
    <w:p w14:paraId="288BDECF" w14:textId="77777777" w:rsidR="00B05931" w:rsidRDefault="00852AC2">
      <w:pPr>
        <w:spacing w:before="60" w:after="110" w:line="298" w:lineRule="auto"/>
        <w:jc w:val="both"/>
      </w:pPr>
      <w:r>
        <w:rPr>
          <w:color w:val="555555"/>
        </w:rPr>
        <w:t>While COD builds initial trust, it also increases return risk — customers face no financial consequence for returns, which may be contributing to the 24% return rate in the status distribution. Shifting the payment mix towards prepaid methods would simultaneously reduce returns and improve cash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4665"/>
        <w:gridCol w:w="4680"/>
      </w:tblGrid>
      <w:tr w:rsidR="00B05931" w14:paraId="658CEF75" w14:textId="77777777">
        <w:tc>
          <w:tcPr>
            <w:tcW w:w="4680"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vAlign w:val="center"/>
          </w:tcPr>
          <w:p w14:paraId="18EF6712" w14:textId="77777777" w:rsidR="00B05931" w:rsidRDefault="00852AC2">
            <w:pPr>
              <w:jc w:val="center"/>
            </w:pPr>
            <w:r>
              <w:rPr>
                <w:noProof/>
              </w:rPr>
              <w:drawing>
                <wp:inline distT="0" distB="0" distL="0" distR="0" wp14:anchorId="2C418425" wp14:editId="687748B8">
                  <wp:extent cx="2667000" cy="1866900"/>
                  <wp:effectExtent l="0" t="0" r="0" b="0"/>
                  <wp:docPr id="6" name="Fig 3 — Order Status" descr="Fig 3 — Order Status" title="Fig 3 — Ord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18669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vAlign w:val="center"/>
          </w:tcPr>
          <w:p w14:paraId="3351D609" w14:textId="77777777" w:rsidR="00B05931" w:rsidRDefault="00852AC2">
            <w:pPr>
              <w:jc w:val="center"/>
            </w:pPr>
            <w:r>
              <w:rPr>
                <w:noProof/>
              </w:rPr>
              <w:drawing>
                <wp:inline distT="0" distB="0" distL="0" distR="0" wp14:anchorId="432DAD69" wp14:editId="4A626491">
                  <wp:extent cx="2667000" cy="1866900"/>
                  <wp:effectExtent l="0" t="0" r="0" b="0"/>
                  <wp:docPr id="7" name="Fig 6 — Payment Method" descr="Fig 6 — Payment Method" title="Fig 6 —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67000" cy="1866900"/>
                          </a:xfrm>
                          <a:prstGeom prst="rect">
                            <a:avLst/>
                          </a:prstGeom>
                        </pic:spPr>
                      </pic:pic>
                    </a:graphicData>
                  </a:graphic>
                </wp:inline>
              </w:drawing>
            </w:r>
          </w:p>
        </w:tc>
      </w:tr>
      <w:tr w:rsidR="00B05931" w14:paraId="2FD0ECC3" w14:textId="77777777">
        <w:tc>
          <w:tcPr>
            <w:tcW w:w="4680"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6ACB53B0" w14:textId="77777777" w:rsidR="00B05931" w:rsidRDefault="00852AC2">
            <w:pPr>
              <w:spacing w:before="4" w:after="100"/>
              <w:jc w:val="center"/>
            </w:pPr>
            <w:r>
              <w:rPr>
                <w:i/>
                <w:iCs/>
                <w:color w:val="999999"/>
                <w:sz w:val="17"/>
                <w:szCs w:val="17"/>
              </w:rPr>
              <w:t>Fig 3 — Order Status</w:t>
            </w:r>
          </w:p>
        </w:tc>
        <w:tc>
          <w:tcPr>
            <w:tcW w:w="4680"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15566E44" w14:textId="77777777" w:rsidR="00B05931" w:rsidRDefault="00852AC2">
            <w:pPr>
              <w:spacing w:before="4" w:after="100"/>
              <w:jc w:val="center"/>
            </w:pPr>
            <w:r>
              <w:rPr>
                <w:i/>
                <w:iCs/>
                <w:color w:val="999999"/>
                <w:sz w:val="17"/>
                <w:szCs w:val="17"/>
              </w:rPr>
              <w:t>Fig 6 — Payment Method</w:t>
            </w:r>
          </w:p>
        </w:tc>
      </w:tr>
      <w:tr w:rsidR="00B05931" w14:paraId="146C65E1" w14:textId="77777777">
        <w:trPr>
          <w:gridBefore w:val="1"/>
          <w:wBefore w:w="15" w:type="dxa"/>
        </w:trPr>
        <w:tc>
          <w:tcPr>
            <w:tcW w:w="0" w:type="auto"/>
            <w:gridSpan w:val="2"/>
            <w:tcBorders>
              <w:top w:val="single" w:sz="3" w:space="0" w:color="6B2D8B"/>
              <w:left w:val="thick" w:sz="12" w:space="0" w:color="D63384"/>
              <w:bottom w:val="single" w:sz="3" w:space="0" w:color="6B2D8B"/>
              <w:right w:val="none" w:sz="0" w:space="0" w:color="FFFFFF"/>
            </w:tcBorders>
            <w:shd w:val="clear" w:color="auto" w:fill="F3E8FF"/>
            <w:tcMar>
              <w:top w:w="100" w:type="dxa"/>
              <w:left w:w="180" w:type="dxa"/>
              <w:bottom w:w="100" w:type="dxa"/>
              <w:right w:w="180" w:type="dxa"/>
            </w:tcMar>
          </w:tcPr>
          <w:p w14:paraId="7D17C84E" w14:textId="77777777" w:rsidR="00B05931" w:rsidRDefault="00852AC2">
            <w:r>
              <w:rPr>
                <w:i/>
                <w:iCs/>
                <w:color w:val="1A1A2E"/>
              </w:rPr>
              <w:t>Key Insight: COD (41%) and high return rate (24%) are likely correlated. Incentivising prepaid payments could reduce both.</w:t>
            </w:r>
          </w:p>
        </w:tc>
      </w:tr>
    </w:tbl>
    <w:p w14:paraId="1D8D20DD" w14:textId="77777777" w:rsidR="00B05931" w:rsidRDefault="00B05931">
      <w:pPr>
        <w:spacing w:before="80"/>
      </w:pPr>
    </w:p>
    <w:p w14:paraId="4A3273A2" w14:textId="77777777" w:rsidR="00B05931" w:rsidRDefault="00852AC2">
      <w:pPr>
        <w:pStyle w:val="Heading1"/>
      </w:pPr>
      <w:r>
        <w:t>3. Key Performance Indicators</w:t>
      </w:r>
    </w:p>
    <w:p w14:paraId="0C8AF448" w14:textId="77777777" w:rsidR="00B05931" w:rsidRDefault="00B05931">
      <w:pPr>
        <w:pBdr>
          <w:bottom w:val="single" w:sz="4" w:space="1" w:color="D63384"/>
        </w:pBdr>
        <w:spacing w:before="120" w:after="140"/>
      </w:pPr>
    </w:p>
    <w:p w14:paraId="49CA2D3F" w14:textId="77777777" w:rsidR="00B05931" w:rsidRDefault="00852AC2">
      <w:pPr>
        <w:spacing w:before="60" w:after="110" w:line="298" w:lineRule="auto"/>
        <w:jc w:val="both"/>
      </w:pPr>
      <w:r>
        <w:rPr>
          <w:color w:val="555555"/>
        </w:rPr>
        <w:t>The four KPI cards at the top of the dashboard provide an immediate financial and operational health check for FY23-25.</w:t>
      </w:r>
    </w:p>
    <w:p w14:paraId="6C36A17A" w14:textId="77777777" w:rsidR="00B05931" w:rsidRDefault="00B05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5931" w14:paraId="6A845826" w14:textId="77777777">
        <w:tc>
          <w:tcPr>
            <w:tcW w:w="4680" w:type="dxa"/>
            <w:tcBorders>
              <w:top w:val="single" w:sz="1" w:space="0" w:color="DDDDDD"/>
              <w:left w:val="single" w:sz="1" w:space="0" w:color="DDDDDD"/>
              <w:bottom w:val="single" w:sz="1" w:space="0" w:color="DDDDDD"/>
              <w:right w:val="single" w:sz="1" w:space="0" w:color="DDDDDD"/>
            </w:tcBorders>
            <w:shd w:val="clear" w:color="auto" w:fill="6B2D8B"/>
            <w:tcMar>
              <w:top w:w="80" w:type="dxa"/>
              <w:left w:w="140" w:type="dxa"/>
              <w:bottom w:w="80" w:type="dxa"/>
              <w:right w:w="140" w:type="dxa"/>
            </w:tcMar>
          </w:tcPr>
          <w:p w14:paraId="06DDAC20" w14:textId="77777777" w:rsidR="00B05931" w:rsidRDefault="00852AC2">
            <w:r>
              <w:rPr>
                <w:b/>
                <w:bCs/>
                <w:color w:val="FFFFFF"/>
              </w:rPr>
              <w:t>Metric</w:t>
            </w:r>
          </w:p>
        </w:tc>
        <w:tc>
          <w:tcPr>
            <w:tcW w:w="4680" w:type="dxa"/>
            <w:tcBorders>
              <w:top w:val="single" w:sz="1" w:space="0" w:color="DDDDDD"/>
              <w:left w:val="single" w:sz="1" w:space="0" w:color="DDDDDD"/>
              <w:bottom w:val="single" w:sz="1" w:space="0" w:color="DDDDDD"/>
              <w:right w:val="single" w:sz="1" w:space="0" w:color="DDDDDD"/>
            </w:tcBorders>
            <w:shd w:val="clear" w:color="auto" w:fill="D63384"/>
            <w:tcMar>
              <w:top w:w="80" w:type="dxa"/>
              <w:left w:w="140" w:type="dxa"/>
              <w:bottom w:w="80" w:type="dxa"/>
              <w:right w:w="140" w:type="dxa"/>
            </w:tcMar>
          </w:tcPr>
          <w:p w14:paraId="01210332" w14:textId="77777777" w:rsidR="00B05931" w:rsidRDefault="00852AC2">
            <w:r>
              <w:rPr>
                <w:b/>
                <w:bCs/>
                <w:color w:val="FFFFFF"/>
              </w:rPr>
              <w:t>Value</w:t>
            </w:r>
          </w:p>
        </w:tc>
      </w:tr>
      <w:tr w:rsidR="00B05931" w14:paraId="7F1B6D0F" w14:textId="77777777">
        <w:tc>
          <w:tcPr>
            <w:tcW w:w="468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40" w:type="dxa"/>
              <w:bottom w:w="80" w:type="dxa"/>
              <w:right w:w="140" w:type="dxa"/>
            </w:tcMar>
          </w:tcPr>
          <w:p w14:paraId="7236927A" w14:textId="77777777" w:rsidR="00B05931" w:rsidRDefault="00852AC2">
            <w:r>
              <w:rPr>
                <w:color w:val="1A1A2E"/>
              </w:rPr>
              <w:t>Total Revenue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29E5479" w14:textId="77777777" w:rsidR="00B05931" w:rsidRDefault="00852AC2">
            <w:r>
              <w:rPr>
                <w:color w:val="555555"/>
              </w:rPr>
              <w:t>₹1,83,078</w:t>
            </w:r>
          </w:p>
        </w:tc>
      </w:tr>
      <w:tr w:rsidR="00B05931" w14:paraId="7A2BC7E4"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40" w:type="dxa"/>
              <w:bottom w:w="80" w:type="dxa"/>
              <w:right w:w="140" w:type="dxa"/>
            </w:tcMar>
          </w:tcPr>
          <w:p w14:paraId="5A33E71D" w14:textId="77777777" w:rsidR="00B05931" w:rsidRDefault="00852AC2">
            <w:r>
              <w:rPr>
                <w:color w:val="1A1A2E"/>
              </w:rPr>
              <w:t>Total Orders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4361762" w14:textId="77777777" w:rsidR="00B05931" w:rsidRDefault="00852AC2">
            <w:r>
              <w:rPr>
                <w:color w:val="555555"/>
              </w:rPr>
              <w:t>100</w:t>
            </w:r>
          </w:p>
        </w:tc>
      </w:tr>
      <w:tr w:rsidR="00B05931" w14:paraId="30137C80" w14:textId="77777777">
        <w:tc>
          <w:tcPr>
            <w:tcW w:w="468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40" w:type="dxa"/>
              <w:bottom w:w="80" w:type="dxa"/>
              <w:right w:w="140" w:type="dxa"/>
            </w:tcMar>
          </w:tcPr>
          <w:p w14:paraId="7CA065FE" w14:textId="77777777" w:rsidR="00B05931" w:rsidRDefault="00852AC2">
            <w:r>
              <w:rPr>
                <w:color w:val="1A1A2E"/>
              </w:rPr>
              <w:t>Total Units Sold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075BE54" w14:textId="77777777" w:rsidR="00B05931" w:rsidRDefault="00852AC2">
            <w:r>
              <w:rPr>
                <w:color w:val="555555"/>
              </w:rPr>
              <w:t>307</w:t>
            </w:r>
          </w:p>
        </w:tc>
      </w:tr>
      <w:tr w:rsidR="00B05931" w14:paraId="5A785414"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40" w:type="dxa"/>
              <w:bottom w:w="80" w:type="dxa"/>
              <w:right w:w="140" w:type="dxa"/>
            </w:tcMar>
          </w:tcPr>
          <w:p w14:paraId="769C081F" w14:textId="77777777" w:rsidR="00B05931" w:rsidRDefault="00852AC2">
            <w:r>
              <w:rPr>
                <w:color w:val="1A1A2E"/>
              </w:rPr>
              <w:t>Average Order Price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AF0945B" w14:textId="77777777" w:rsidR="00B05931" w:rsidRDefault="00852AC2">
            <w:r>
              <w:rPr>
                <w:color w:val="555555"/>
              </w:rPr>
              <w:t>₹1,830.78</w:t>
            </w:r>
          </w:p>
        </w:tc>
      </w:tr>
    </w:tbl>
    <w:p w14:paraId="553E681E" w14:textId="77777777" w:rsidR="00B05931" w:rsidRDefault="00852AC2">
      <w:pPr>
        <w:spacing w:before="30" w:after="120"/>
        <w:jc w:val="center"/>
      </w:pPr>
      <w:r>
        <w:rPr>
          <w:i/>
          <w:iCs/>
          <w:color w:val="999999"/>
          <w:sz w:val="17"/>
          <w:szCs w:val="17"/>
        </w:rPr>
        <w:t>Table 1 — Key Performance Indicators, FY23-25</w:t>
      </w:r>
    </w:p>
    <w:p w14:paraId="562D3378" w14:textId="77777777" w:rsidR="00B05931" w:rsidRDefault="00B05931">
      <w:pPr>
        <w:spacing w:before="100"/>
      </w:pPr>
    </w:p>
    <w:p w14:paraId="55B10714" w14:textId="005CCD04" w:rsidR="00EA7A9E" w:rsidRDefault="00852AC2">
      <w:pPr>
        <w:pStyle w:val="Heading2"/>
      </w:pPr>
      <w:r>
        <w:t>3.1 Revenue and Order Value</w:t>
      </w:r>
    </w:p>
    <w:p w14:paraId="1F3532F0" w14:textId="77777777" w:rsidR="00B05931" w:rsidRDefault="00852AC2">
      <w:pPr>
        <w:spacing w:before="60" w:after="110" w:line="298" w:lineRule="auto"/>
        <w:jc w:val="both"/>
      </w:pPr>
      <w:r>
        <w:rPr>
          <w:color w:val="555555"/>
        </w:rPr>
        <w:t>Total revenue of ₹1,83,078 across 100 orders places the Average Order Price at ₹1,830.78. This elevated per-order value indicates a mid-to-premium product mix where individual transactions carry meaningful monetary weight. Losing even a single customer carries a disproportionate revenue impact, making retention strategy critical.</w:t>
      </w:r>
    </w:p>
    <w:p w14:paraId="19250077" w14:textId="77777777" w:rsidR="00EA7A9E" w:rsidRDefault="00EA7A9E">
      <w:pPr>
        <w:pStyle w:val="Heading2"/>
      </w:pPr>
    </w:p>
    <w:p w14:paraId="0EB29FF4" w14:textId="0369793D" w:rsidR="00EA7A9E" w:rsidRDefault="00852AC2">
      <w:pPr>
        <w:pStyle w:val="Heading2"/>
      </w:pPr>
      <w:r>
        <w:lastRenderedPageBreak/>
        <w:t>3.2 Units per Order</w:t>
      </w:r>
    </w:p>
    <w:p w14:paraId="4A8A663F" w14:textId="77777777" w:rsidR="00B05931" w:rsidRDefault="00852AC2">
      <w:pPr>
        <w:spacing w:before="60" w:after="110" w:line="298" w:lineRule="auto"/>
        <w:jc w:val="both"/>
      </w:pPr>
      <w:r>
        <w:rPr>
          <w:color w:val="555555"/>
        </w:rPr>
        <w:t>With 307 units sold across 100 orders, the average basket size is approximately 3.07 units per transaction. Customers are consistently purchasing multiple items per order — a positive indicator of effective cross-selling or product discovery on the platform.</w:t>
      </w:r>
    </w:p>
    <w:p w14:paraId="3A816697" w14:textId="77777777" w:rsidR="00B05931" w:rsidRDefault="00B05931">
      <w:pPr>
        <w:spacing w:before="80"/>
      </w:pPr>
    </w:p>
    <w:p w14:paraId="11497152" w14:textId="77777777" w:rsidR="00B05931" w:rsidRDefault="00852AC2">
      <w:pPr>
        <w:pStyle w:val="Heading1"/>
      </w:pPr>
      <w:r>
        <w:t>4. Business Insights</w:t>
      </w:r>
    </w:p>
    <w:p w14:paraId="498D0EAF" w14:textId="77777777" w:rsidR="00B05931" w:rsidRDefault="00B05931">
      <w:pPr>
        <w:pBdr>
          <w:bottom w:val="single" w:sz="4" w:space="1" w:color="D63384"/>
        </w:pBdr>
        <w:spacing w:before="120" w:after="140"/>
      </w:pPr>
    </w:p>
    <w:p w14:paraId="43793CBF" w14:textId="77777777" w:rsidR="00B05931" w:rsidRDefault="00852AC2">
      <w:pPr>
        <w:pStyle w:val="Heading2"/>
      </w:pPr>
      <w:r>
        <w:t>4.1 Strengths</w:t>
      </w:r>
    </w:p>
    <w:p w14:paraId="1D1C37D1" w14:textId="77777777" w:rsidR="00B05931" w:rsidRDefault="00852AC2">
      <w:pPr>
        <w:spacing w:before="60" w:after="110" w:line="298" w:lineRule="auto"/>
        <w:jc w:val="both"/>
      </w:pPr>
      <w:r>
        <w:rPr>
          <w:color w:val="555555"/>
        </w:rPr>
        <w:t>The business demonstrates a well-diversified revenue base with no single category representing an overwhelming dependency. Electronics and Clothing provide reliable revenue anchors, while the Blender demonstrates the platform's ability to convert high-value transactions. The AOP of ₹1,830.78 and a basket size above 3 units per order both indicate customers are engaged and willing to spend meaningfully.</w:t>
      </w:r>
    </w:p>
    <w:p w14:paraId="5E960AE4" w14:textId="77777777" w:rsidR="00B05931" w:rsidRDefault="00B05931">
      <w:pPr>
        <w:spacing w:before="80"/>
      </w:pPr>
    </w:p>
    <w:p w14:paraId="3D2CAEFC" w14:textId="77777777" w:rsidR="00B05931" w:rsidRDefault="00852AC2">
      <w:pPr>
        <w:pStyle w:val="Heading2"/>
      </w:pPr>
      <w:r>
        <w:t>4.2 Weaknesses and Risk Areas</w:t>
      </w:r>
    </w:p>
    <w:p w14:paraId="7641D16F" w14:textId="77777777" w:rsidR="00B05931" w:rsidRDefault="00852AC2">
      <w:pPr>
        <w:spacing w:before="60" w:after="110" w:line="298" w:lineRule="auto"/>
        <w:jc w:val="both"/>
      </w:pPr>
      <w:r>
        <w:rPr>
          <w:color w:val="555555"/>
        </w:rPr>
        <w:t>The combined return and cancellation rate exceeding 40% is the most critical weakness. This represents direct revenue leakage, increased reverse-logistics costs, and a damaged post-purchase experience. The 30% processing backlog further indicates fulfilment timelines are not meeting customer expectations, likely feeding downstream cancellations and returns.</w:t>
      </w:r>
    </w:p>
    <w:p w14:paraId="560C9200" w14:textId="77777777" w:rsidR="00B05931" w:rsidRDefault="00852AC2">
      <w:pPr>
        <w:spacing w:before="60" w:after="110" w:line="298" w:lineRule="auto"/>
        <w:jc w:val="both"/>
      </w:pPr>
      <w:r>
        <w:rPr>
          <w:color w:val="555555"/>
        </w:rPr>
        <w:t>Sports as a category is consistently the weakest performer across both revenue and order count, suggesting insufficient inventory depth, pricing weakness, or poor discoverability.</w:t>
      </w:r>
    </w:p>
    <w:p w14:paraId="3B49DB73" w14:textId="77777777" w:rsidR="00B05931" w:rsidRDefault="00B05931">
      <w:pPr>
        <w:spacing w:before="80"/>
      </w:pPr>
    </w:p>
    <w:p w14:paraId="1B748F44" w14:textId="77777777" w:rsidR="00B05931" w:rsidRDefault="00852AC2">
      <w:pPr>
        <w:pStyle w:val="Heading2"/>
      </w:pPr>
      <w:r>
        <w:t>4.3 Opportunities</w:t>
      </w:r>
    </w:p>
    <w:p w14:paraId="61A8D7ED" w14:textId="77777777" w:rsidR="00B05931" w:rsidRDefault="00852AC2">
      <w:pPr>
        <w:spacing w:before="60" w:after="110" w:line="298" w:lineRule="auto"/>
        <w:jc w:val="both"/>
      </w:pPr>
      <w:r>
        <w:rPr>
          <w:color w:val="555555"/>
        </w:rPr>
        <w:t>The Blender's success points to a clear opportunity in the premium home appliance space. Expanding this sub-category with complementary products could leverage the same customer appetite already demonstrated. The strong November performance gap is a straightforward revenue opportunity — a structured festive-season campaign could realistically add 5–10 incremental orders in a month that currently contributes almost nothing.</w:t>
      </w:r>
    </w:p>
    <w:p w14:paraId="25709017" w14:textId="77777777" w:rsidR="00B05931" w:rsidRDefault="00852AC2">
      <w:pPr>
        <w:spacing w:before="60" w:after="110" w:line="298" w:lineRule="auto"/>
        <w:jc w:val="both"/>
      </w:pPr>
      <w:r>
        <w:rPr>
          <w:color w:val="555555"/>
        </w:rPr>
        <w:t>Shifting the COD-heavy payment mix towards prepaid methods via targeted incentives would reduce return rates, improve cash flow, and lower reverse-logistics costs simultaneously.</w:t>
      </w:r>
    </w:p>
    <w:p w14:paraId="6A5498E5" w14:textId="77777777" w:rsidR="00B05931" w:rsidRDefault="00B05931">
      <w:pPr>
        <w:spacing w:before="80"/>
      </w:pPr>
    </w:p>
    <w:p w14:paraId="4A7A8187" w14:textId="77777777" w:rsidR="00B05931" w:rsidRDefault="00852AC2">
      <w:pPr>
        <w:pStyle w:val="Heading1"/>
      </w:pPr>
      <w:r>
        <w:t>5. Recommendations</w:t>
      </w:r>
    </w:p>
    <w:p w14:paraId="58C7E6F1" w14:textId="77777777" w:rsidR="00B05931" w:rsidRDefault="00B05931">
      <w:pPr>
        <w:pBdr>
          <w:bottom w:val="single" w:sz="4" w:space="1" w:color="D63384"/>
        </w:pBdr>
        <w:spacing w:before="120" w:after="140"/>
      </w:pPr>
    </w:p>
    <w:p w14:paraId="07F38FA9" w14:textId="77777777" w:rsidR="00B05931" w:rsidRDefault="00852AC2">
      <w:pPr>
        <w:spacing w:before="60" w:after="110" w:line="298" w:lineRule="auto"/>
        <w:jc w:val="both"/>
      </w:pPr>
      <w:r>
        <w:rPr>
          <w:color w:val="555555"/>
        </w:rPr>
        <w:t>Six targeted recommendations follow from the data insights above. Each is directly evidenced by the dashboard and designed to be measurable.</w:t>
      </w:r>
    </w:p>
    <w:p w14:paraId="25DAED49" w14:textId="77777777" w:rsidR="00B05931" w:rsidRDefault="00B05931">
      <w:pPr>
        <w:spacing w:before="80"/>
      </w:pPr>
    </w:p>
    <w:p w14:paraId="60EAEBDC" w14:textId="77777777" w:rsidR="00EA7A9E" w:rsidRDefault="00EA7A9E">
      <w:pPr>
        <w:pStyle w:val="Heading2"/>
      </w:pPr>
    </w:p>
    <w:p w14:paraId="5ACDC769" w14:textId="13989DD0" w:rsidR="00B05931" w:rsidRDefault="00852AC2">
      <w:pPr>
        <w:pStyle w:val="Heading2"/>
      </w:pPr>
      <w:r>
        <w:lastRenderedPageBreak/>
        <w:t>5.1 Launch a Return Reduction Programme</w:t>
      </w:r>
    </w:p>
    <w:p w14:paraId="2367E256" w14:textId="77777777" w:rsidR="00B05931" w:rsidRDefault="00852AC2">
      <w:pPr>
        <w:spacing w:before="60" w:after="110" w:line="298" w:lineRule="auto"/>
        <w:jc w:val="both"/>
      </w:pPr>
      <w:r>
        <w:rPr>
          <w:color w:val="555555"/>
        </w:rPr>
        <w:t>Conduct root-cause analysis on returns, segmenting by category, product, and month. For Clothing, improve size guides. For Home and Appliances, add video demonstrations. Introduce a post-return feedback form. Target: reduce return rate from 24% to below 15% within two quarters.</w:t>
      </w:r>
    </w:p>
    <w:p w14:paraId="6362B2E4" w14:textId="77777777" w:rsidR="00B05931" w:rsidRDefault="00852AC2">
      <w:pPr>
        <w:pStyle w:val="Heading2"/>
      </w:pPr>
      <w:r>
        <w:t>5.2 Enforce Fulfilment SLAs</w:t>
      </w:r>
    </w:p>
    <w:p w14:paraId="5C75B0C4" w14:textId="77777777" w:rsidR="00B05931" w:rsidRDefault="00852AC2">
      <w:pPr>
        <w:spacing w:before="60" w:after="110" w:line="298" w:lineRule="auto"/>
        <w:jc w:val="both"/>
      </w:pPr>
      <w:r>
        <w:rPr>
          <w:color w:val="555555"/>
        </w:rPr>
        <w:t>Set formal Service-Level Agreements requiring same-day dispatch for in-stock orders. Automate order-status notifications at each fulfilment stage to reduce anxiety-driven cancellations. Review warehouse capacity to identify where the 30% processing backlog originates.</w:t>
      </w:r>
    </w:p>
    <w:p w14:paraId="2A0B242C" w14:textId="77777777" w:rsidR="00B05931" w:rsidRDefault="00852AC2">
      <w:pPr>
        <w:pStyle w:val="Heading2"/>
      </w:pPr>
      <w:r>
        <w:t>5.3 Build a Seasonal Marketing Calendar</w:t>
      </w:r>
    </w:p>
    <w:p w14:paraId="08778514" w14:textId="77777777" w:rsidR="00B05931" w:rsidRDefault="00852AC2">
      <w:pPr>
        <w:spacing w:before="60" w:after="110" w:line="298" w:lineRule="auto"/>
        <w:jc w:val="both"/>
      </w:pPr>
      <w:r>
        <w:rPr>
          <w:color w:val="555555"/>
        </w:rPr>
        <w:t>Formalise February and June as flagship campaign windows with pre-planned stock positioning and targeted promotions. Develop a November festive campaign to capture a currently missed peak — target at least 8–10 orders in November, a fourfold improvement on the current 2.</w:t>
      </w:r>
    </w:p>
    <w:p w14:paraId="6C39029D" w14:textId="77777777" w:rsidR="00B05931" w:rsidRDefault="00852AC2">
      <w:pPr>
        <w:pStyle w:val="Heading2"/>
      </w:pPr>
      <w:r>
        <w:t>5.4 Invest in the Sports Category</w:t>
      </w:r>
    </w:p>
    <w:p w14:paraId="622643A2" w14:textId="77777777" w:rsidR="00B05931" w:rsidRDefault="00852AC2">
      <w:pPr>
        <w:spacing w:before="60" w:after="110" w:line="298" w:lineRule="auto"/>
        <w:jc w:val="both"/>
      </w:pPr>
      <w:r>
        <w:rPr>
          <w:color w:val="555555"/>
        </w:rPr>
        <w:t>Commission a competitive audit. Introduce 3–5 trending sports or fitness products and run a dedicated category promotion for one month to test demand. If response is weak, consider rationalising the category in favour of higher-performing segments.</w:t>
      </w:r>
    </w:p>
    <w:p w14:paraId="70FD8EC4" w14:textId="77777777" w:rsidR="00B05931" w:rsidRDefault="00852AC2">
      <w:pPr>
        <w:pStyle w:val="Heading2"/>
      </w:pPr>
      <w:r>
        <w:t>5.5 Incentivise Prepaid Payments</w:t>
      </w:r>
    </w:p>
    <w:p w14:paraId="4A5AEB24" w14:textId="77777777" w:rsidR="00B05931" w:rsidRDefault="00852AC2">
      <w:pPr>
        <w:spacing w:before="60" w:after="110" w:line="298" w:lineRule="auto"/>
        <w:jc w:val="both"/>
      </w:pPr>
      <w:r>
        <w:rPr>
          <w:color w:val="555555"/>
        </w:rPr>
        <w:t>Introduce a 2–3% instant cashback for customers choosing Credit Card, PayPal, or Bank Transfer at checkout. Display this incentive prominently at the payment selection stage. 12-month target: reduce COD share from 41% to below 30%.</w:t>
      </w:r>
    </w:p>
    <w:p w14:paraId="1CFB9A53" w14:textId="77777777" w:rsidR="00B05931" w:rsidRDefault="00852AC2">
      <w:pPr>
        <w:pStyle w:val="Heading2"/>
      </w:pPr>
      <w:r>
        <w:t>5.6 Expand the Premium Home Appliance Range</w:t>
      </w:r>
    </w:p>
    <w:p w14:paraId="7B5C183F" w14:textId="77777777" w:rsidR="00B05931" w:rsidRDefault="00852AC2">
      <w:pPr>
        <w:spacing w:before="60" w:after="110" w:line="298" w:lineRule="auto"/>
        <w:jc w:val="both"/>
      </w:pPr>
      <w:r>
        <w:rPr>
          <w:color w:val="555555"/>
        </w:rPr>
        <w:t>Build on the Blender's success by curating a Premium Home section with two price tiers: accessible (₹1,000–₹2,000) and aspirational (₹3,000+). Use existing Blender buyer data to drive personalised recommendations. Add buying guides and comparison tables to improve conversion.</w:t>
      </w:r>
    </w:p>
    <w:p w14:paraId="171B2EA3" w14:textId="77777777" w:rsidR="00B05931" w:rsidRDefault="00B05931">
      <w:pPr>
        <w:spacing w:before="80"/>
      </w:pPr>
    </w:p>
    <w:p w14:paraId="08D8DF89" w14:textId="77777777" w:rsidR="00B05931" w:rsidRDefault="00852AC2">
      <w:pPr>
        <w:pStyle w:val="Heading1"/>
      </w:pPr>
      <w:r>
        <w:t>6. Conclusion</w:t>
      </w:r>
    </w:p>
    <w:p w14:paraId="030446B7" w14:textId="77777777" w:rsidR="00B05931" w:rsidRDefault="00B05931">
      <w:pPr>
        <w:pBdr>
          <w:bottom w:val="single" w:sz="4" w:space="1" w:color="D63384"/>
        </w:pBdr>
        <w:spacing w:before="120" w:after="140"/>
      </w:pPr>
    </w:p>
    <w:p w14:paraId="561999F2" w14:textId="77777777" w:rsidR="00B05931" w:rsidRDefault="00852AC2">
      <w:pPr>
        <w:spacing w:before="60" w:after="110" w:line="298" w:lineRule="auto"/>
        <w:jc w:val="both"/>
      </w:pPr>
      <w:r>
        <w:rPr>
          <w:color w:val="555555"/>
        </w:rPr>
        <w:t>This report (FY23-25) has examined the E-Commerce dashboard across seven analytical dimensions: headline KPIs, category revenue, order fulfilment health, top product performance, monthly demand trends, payment method distribution, and category-status cross-analysis.</w:t>
      </w:r>
    </w:p>
    <w:p w14:paraId="2F33ACFD" w14:textId="77777777" w:rsidR="00B05931" w:rsidRDefault="00852AC2">
      <w:pPr>
        <w:spacing w:before="60" w:after="110" w:line="298" w:lineRule="auto"/>
        <w:jc w:val="both"/>
      </w:pPr>
      <w:r>
        <w:rPr>
          <w:color w:val="555555"/>
        </w:rPr>
        <w:t>The business enters its next phase with genuine strengths — a diversified category base, a healthy average order value, and the demonstrated ability to sell premium products. However, the 40%+ combined return and cancellation rate, the November revenue gap, and Sports category underperformance represent material drags on growth potential that are addressable with targeted action.</w:t>
      </w:r>
    </w:p>
    <w:p w14:paraId="6C8028BE" w14:textId="77777777" w:rsidR="00B05931" w:rsidRDefault="00852AC2">
      <w:pPr>
        <w:spacing w:before="60" w:after="110" w:line="298" w:lineRule="auto"/>
        <w:jc w:val="both"/>
      </w:pPr>
      <w:r>
        <w:rPr>
          <w:color w:val="555555"/>
        </w:rPr>
        <w:t>The six recommendations in this report are not aspirational — they are directly evidenced by the FY23-25 data. A structured return reduction programme, seasonal campaign calendar, fulfilment SLA enforcement, payment incentive scheme, Sports category review, and Home Appliance expansion collectively address the most significant value leaks and growth gaps identified.</w:t>
      </w:r>
    </w:p>
    <w:p w14:paraId="0BA80221" w14:textId="77777777" w:rsidR="00B05931" w:rsidRDefault="00852AC2">
      <w:pPr>
        <w:spacing w:before="60" w:after="110" w:line="298" w:lineRule="auto"/>
        <w:jc w:val="both"/>
      </w:pPr>
      <w:r>
        <w:rPr>
          <w:color w:val="555555"/>
        </w:rPr>
        <w:lastRenderedPageBreak/>
        <w:t>A business that reads its data clearly and acts on it decisively compounds its advantages over time. The FY23-25 dashboard is not just a record of what happened — it is a roadmap for what comes next.</w:t>
      </w:r>
    </w:p>
    <w:p w14:paraId="47665E44" w14:textId="77777777" w:rsidR="00B05931" w:rsidRDefault="00B059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5931" w14:paraId="2212BE0F" w14:textId="77777777">
        <w:tc>
          <w:tcPr>
            <w:tcW w:w="0" w:type="auto"/>
            <w:tcBorders>
              <w:top w:val="single" w:sz="4" w:space="0" w:color="D63384"/>
              <w:left w:val="thick" w:sz="14" w:space="0" w:color="6B2D8B"/>
              <w:bottom w:val="single" w:sz="4" w:space="0" w:color="D63384"/>
              <w:right w:val="none" w:sz="0" w:space="0" w:color="FFFFFF"/>
            </w:tcBorders>
            <w:shd w:val="clear" w:color="auto" w:fill="F3E8FF"/>
            <w:tcMar>
              <w:top w:w="140" w:type="dxa"/>
              <w:left w:w="220" w:type="dxa"/>
              <w:bottom w:w="140" w:type="dxa"/>
              <w:right w:w="220" w:type="dxa"/>
            </w:tcMar>
          </w:tcPr>
          <w:p w14:paraId="3D3B2BF9" w14:textId="77777777" w:rsidR="00B05931" w:rsidRDefault="00852AC2">
            <w:pPr>
              <w:jc w:val="center"/>
            </w:pPr>
            <w:r>
              <w:rPr>
                <w:i/>
                <w:iCs/>
                <w:color w:val="6B2D8B"/>
                <w:sz w:val="22"/>
                <w:szCs w:val="22"/>
              </w:rPr>
              <w:t>"Data is the new oil — but only when refined into insight and actioned into strategy."</w:t>
            </w:r>
          </w:p>
        </w:tc>
      </w:tr>
    </w:tbl>
    <w:p w14:paraId="44120DAE" w14:textId="77777777" w:rsidR="00B05931" w:rsidRDefault="00B05931">
      <w:pPr>
        <w:spacing w:before="80"/>
      </w:pPr>
    </w:p>
    <w:p w14:paraId="03A3A9F3" w14:textId="77777777" w:rsidR="00B05931" w:rsidRDefault="00852AC2">
      <w:r>
        <w:br w:type="page"/>
      </w:r>
    </w:p>
    <w:p w14:paraId="38BB8BAC" w14:textId="77777777" w:rsidR="00B05931" w:rsidRDefault="00852AC2">
      <w:pPr>
        <w:pStyle w:val="Heading1"/>
      </w:pPr>
      <w:r>
        <w:lastRenderedPageBreak/>
        <w:t>Appendix: Quick Reference Data Tables</w:t>
      </w:r>
    </w:p>
    <w:p w14:paraId="0DEA0866" w14:textId="77777777" w:rsidR="00B05931" w:rsidRDefault="00B05931">
      <w:pPr>
        <w:pBdr>
          <w:bottom w:val="single" w:sz="4" w:space="1" w:color="D63384"/>
        </w:pBdr>
        <w:spacing w:before="120" w:after="140"/>
      </w:pPr>
    </w:p>
    <w:p w14:paraId="6650EC65" w14:textId="77777777" w:rsidR="00B05931" w:rsidRDefault="00852AC2">
      <w:pPr>
        <w:spacing w:before="60" w:after="110" w:line="298" w:lineRule="auto"/>
        <w:jc w:val="both"/>
      </w:pPr>
      <w:r>
        <w:rPr>
          <w:color w:val="555555"/>
        </w:rPr>
        <w:t>The tables below summarise key data points from the FY23-25 dashboard for quick cross-reference.</w:t>
      </w:r>
    </w:p>
    <w:p w14:paraId="4989D980" w14:textId="77777777" w:rsidR="00B05931" w:rsidRDefault="00B05931">
      <w:pPr>
        <w:spacing w:before="100"/>
      </w:pPr>
    </w:p>
    <w:p w14:paraId="4869D22D" w14:textId="77777777" w:rsidR="00B05931" w:rsidRDefault="00852AC2">
      <w:pPr>
        <w:pStyle w:val="Heading2"/>
      </w:pPr>
      <w:r>
        <w:t>A. Revenue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5931" w14:paraId="0C74D817" w14:textId="77777777">
        <w:tc>
          <w:tcPr>
            <w:tcW w:w="4680" w:type="dxa"/>
            <w:tcBorders>
              <w:top w:val="single" w:sz="1" w:space="0" w:color="DDDDDD"/>
              <w:left w:val="single" w:sz="1" w:space="0" w:color="DDDDDD"/>
              <w:bottom w:val="single" w:sz="1" w:space="0" w:color="DDDDDD"/>
              <w:right w:val="single" w:sz="1" w:space="0" w:color="DDDDDD"/>
            </w:tcBorders>
            <w:shd w:val="clear" w:color="auto" w:fill="6B2D8B"/>
            <w:tcMar>
              <w:top w:w="80" w:type="dxa"/>
              <w:left w:w="140" w:type="dxa"/>
              <w:bottom w:w="80" w:type="dxa"/>
              <w:right w:w="140" w:type="dxa"/>
            </w:tcMar>
          </w:tcPr>
          <w:p w14:paraId="1EB0D78D" w14:textId="77777777" w:rsidR="00B05931" w:rsidRDefault="00852AC2">
            <w:r>
              <w:rPr>
                <w:b/>
                <w:bCs/>
                <w:color w:val="FFFFFF"/>
              </w:rPr>
              <w:t>Category</w:t>
            </w:r>
          </w:p>
        </w:tc>
        <w:tc>
          <w:tcPr>
            <w:tcW w:w="4680" w:type="dxa"/>
            <w:tcBorders>
              <w:top w:val="single" w:sz="1" w:space="0" w:color="DDDDDD"/>
              <w:left w:val="single" w:sz="1" w:space="0" w:color="DDDDDD"/>
              <w:bottom w:val="single" w:sz="1" w:space="0" w:color="DDDDDD"/>
              <w:right w:val="single" w:sz="1" w:space="0" w:color="DDDDDD"/>
            </w:tcBorders>
            <w:shd w:val="clear" w:color="auto" w:fill="6B2D8B"/>
            <w:tcMar>
              <w:top w:w="80" w:type="dxa"/>
              <w:left w:w="140" w:type="dxa"/>
              <w:bottom w:w="80" w:type="dxa"/>
              <w:right w:w="140" w:type="dxa"/>
            </w:tcMar>
          </w:tcPr>
          <w:p w14:paraId="0149EF7A" w14:textId="77777777" w:rsidR="00B05931" w:rsidRDefault="00852AC2">
            <w:r>
              <w:rPr>
                <w:b/>
                <w:bCs/>
                <w:color w:val="FFFFFF"/>
              </w:rPr>
              <w:t>Revenue (₹)</w:t>
            </w:r>
          </w:p>
        </w:tc>
      </w:tr>
      <w:tr w:rsidR="00B05931" w14:paraId="72D8BAFC" w14:textId="77777777">
        <w:tc>
          <w:tcPr>
            <w:tcW w:w="468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40" w:type="dxa"/>
              <w:bottom w:w="80" w:type="dxa"/>
              <w:right w:w="140" w:type="dxa"/>
            </w:tcMar>
          </w:tcPr>
          <w:p w14:paraId="7992A9BE" w14:textId="77777777" w:rsidR="00B05931" w:rsidRDefault="00852AC2">
            <w:r>
              <w:rPr>
                <w:color w:val="1A1A2E"/>
              </w:rPr>
              <w:t>Electronics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A86DCFE" w14:textId="77777777" w:rsidR="00B05931" w:rsidRDefault="00852AC2">
            <w:r>
              <w:rPr>
                <w:color w:val="555555"/>
              </w:rPr>
              <w:t>₹44,177</w:t>
            </w:r>
          </w:p>
        </w:tc>
      </w:tr>
      <w:tr w:rsidR="00B05931" w14:paraId="27ADA8D8"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40" w:type="dxa"/>
              <w:bottom w:w="80" w:type="dxa"/>
              <w:right w:w="140" w:type="dxa"/>
            </w:tcMar>
          </w:tcPr>
          <w:p w14:paraId="7F8A5705" w14:textId="77777777" w:rsidR="00B05931" w:rsidRDefault="00852AC2">
            <w:r>
              <w:rPr>
                <w:color w:val="1A1A2E"/>
              </w:rPr>
              <w:t>Clothing</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9395638" w14:textId="77777777" w:rsidR="00B05931" w:rsidRDefault="00852AC2">
            <w:r>
              <w:rPr>
                <w:color w:val="555555"/>
              </w:rPr>
              <w:t>₹43,181</w:t>
            </w:r>
          </w:p>
        </w:tc>
      </w:tr>
      <w:tr w:rsidR="00B05931" w14:paraId="50438342" w14:textId="77777777">
        <w:tc>
          <w:tcPr>
            <w:tcW w:w="468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40" w:type="dxa"/>
              <w:bottom w:w="80" w:type="dxa"/>
              <w:right w:w="140" w:type="dxa"/>
            </w:tcMar>
          </w:tcPr>
          <w:p w14:paraId="4C331BBE" w14:textId="77777777" w:rsidR="00B05931" w:rsidRDefault="00852AC2">
            <w:r>
              <w:rPr>
                <w:color w:val="1A1A2E"/>
              </w:rPr>
              <w:t>Home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FBC277B" w14:textId="77777777" w:rsidR="00B05931" w:rsidRDefault="00852AC2">
            <w:r>
              <w:rPr>
                <w:color w:val="555555"/>
              </w:rPr>
              <w:t>₹34,395</w:t>
            </w:r>
          </w:p>
        </w:tc>
      </w:tr>
      <w:tr w:rsidR="00B05931" w14:paraId="4DCAF7CC"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40" w:type="dxa"/>
              <w:bottom w:w="80" w:type="dxa"/>
              <w:right w:w="140" w:type="dxa"/>
            </w:tcMar>
          </w:tcPr>
          <w:p w14:paraId="490F5231" w14:textId="77777777" w:rsidR="00B05931" w:rsidRDefault="00852AC2">
            <w:r>
              <w:rPr>
                <w:color w:val="1A1A2E"/>
              </w:rPr>
              <w:t>Books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BD10C1F" w14:textId="77777777" w:rsidR="00B05931" w:rsidRDefault="00852AC2">
            <w:r>
              <w:rPr>
                <w:color w:val="555555"/>
              </w:rPr>
              <w:t>₹34,000</w:t>
            </w:r>
          </w:p>
        </w:tc>
      </w:tr>
      <w:tr w:rsidR="00B05931" w14:paraId="7076A4B2" w14:textId="77777777">
        <w:tc>
          <w:tcPr>
            <w:tcW w:w="468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40" w:type="dxa"/>
              <w:bottom w:w="80" w:type="dxa"/>
              <w:right w:w="140" w:type="dxa"/>
            </w:tcMar>
          </w:tcPr>
          <w:p w14:paraId="7E9134BB" w14:textId="77777777" w:rsidR="00B05931" w:rsidRDefault="00852AC2">
            <w:r>
              <w:rPr>
                <w:color w:val="1A1A2E"/>
              </w:rPr>
              <w:t>Sports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3A0F228" w14:textId="77777777" w:rsidR="00B05931" w:rsidRDefault="00852AC2">
            <w:r>
              <w:rPr>
                <w:color w:val="555555"/>
              </w:rPr>
              <w:t>₹27,325</w:t>
            </w:r>
          </w:p>
        </w:tc>
      </w:tr>
    </w:tbl>
    <w:p w14:paraId="12993B66" w14:textId="77777777" w:rsidR="00B05931" w:rsidRDefault="00852AC2">
      <w:pPr>
        <w:spacing w:before="30" w:after="120"/>
        <w:jc w:val="center"/>
      </w:pPr>
      <w:r>
        <w:rPr>
          <w:i/>
          <w:iCs/>
          <w:color w:val="999999"/>
          <w:sz w:val="17"/>
          <w:szCs w:val="17"/>
        </w:rPr>
        <w:t>Table A1 — Revenue by Product Category</w:t>
      </w:r>
    </w:p>
    <w:p w14:paraId="1B887FEA" w14:textId="77777777" w:rsidR="00B05931" w:rsidRDefault="00B05931">
      <w:pPr>
        <w:spacing w:before="140"/>
      </w:pPr>
    </w:p>
    <w:p w14:paraId="5E9FEEE6" w14:textId="77777777" w:rsidR="00B05931" w:rsidRDefault="00852AC2">
      <w:pPr>
        <w:pStyle w:val="Heading2"/>
      </w:pPr>
      <w:r>
        <w:t>B. Order Status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5931" w14:paraId="7DDCA518" w14:textId="77777777">
        <w:tc>
          <w:tcPr>
            <w:tcW w:w="4680" w:type="dxa"/>
            <w:tcBorders>
              <w:top w:val="single" w:sz="1" w:space="0" w:color="DDDDDD"/>
              <w:left w:val="single" w:sz="1" w:space="0" w:color="DDDDDD"/>
              <w:bottom w:val="single" w:sz="1" w:space="0" w:color="DDDDDD"/>
              <w:right w:val="single" w:sz="1" w:space="0" w:color="DDDDDD"/>
            </w:tcBorders>
            <w:shd w:val="clear" w:color="auto" w:fill="D63384"/>
            <w:tcMar>
              <w:top w:w="80" w:type="dxa"/>
              <w:left w:w="140" w:type="dxa"/>
              <w:bottom w:w="80" w:type="dxa"/>
              <w:right w:w="140" w:type="dxa"/>
            </w:tcMar>
          </w:tcPr>
          <w:p w14:paraId="389CE4EB" w14:textId="77777777" w:rsidR="00B05931" w:rsidRDefault="00852AC2">
            <w:r>
              <w:rPr>
                <w:b/>
                <w:bCs/>
                <w:color w:val="FFFFFF"/>
              </w:rPr>
              <w:t>Order Status</w:t>
            </w:r>
          </w:p>
        </w:tc>
        <w:tc>
          <w:tcPr>
            <w:tcW w:w="4680" w:type="dxa"/>
            <w:tcBorders>
              <w:top w:val="single" w:sz="1" w:space="0" w:color="DDDDDD"/>
              <w:left w:val="single" w:sz="1" w:space="0" w:color="DDDDDD"/>
              <w:bottom w:val="single" w:sz="1" w:space="0" w:color="DDDDDD"/>
              <w:right w:val="single" w:sz="1" w:space="0" w:color="DDDDDD"/>
            </w:tcBorders>
            <w:shd w:val="clear" w:color="auto" w:fill="D63384"/>
            <w:tcMar>
              <w:top w:w="80" w:type="dxa"/>
              <w:left w:w="140" w:type="dxa"/>
              <w:bottom w:w="80" w:type="dxa"/>
              <w:right w:w="140" w:type="dxa"/>
            </w:tcMar>
          </w:tcPr>
          <w:p w14:paraId="7606CC68" w14:textId="77777777" w:rsidR="00B05931" w:rsidRDefault="00852AC2">
            <w:r>
              <w:rPr>
                <w:b/>
                <w:bCs/>
                <w:color w:val="FFFFFF"/>
              </w:rPr>
              <w:t>Share (%)</w:t>
            </w:r>
          </w:p>
        </w:tc>
      </w:tr>
      <w:tr w:rsidR="00B05931" w14:paraId="7040FC68" w14:textId="77777777">
        <w:tc>
          <w:tcPr>
            <w:tcW w:w="468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40" w:type="dxa"/>
              <w:bottom w:w="80" w:type="dxa"/>
              <w:right w:w="140" w:type="dxa"/>
            </w:tcMar>
          </w:tcPr>
          <w:p w14:paraId="14B6788A" w14:textId="77777777" w:rsidR="00B05931" w:rsidRDefault="00852AC2">
            <w:r>
              <w:rPr>
                <w:color w:val="1A1A2E"/>
              </w:rPr>
              <w:t>Processing</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73B127C" w14:textId="77777777" w:rsidR="00B05931" w:rsidRDefault="00852AC2">
            <w:r>
              <w:rPr>
                <w:color w:val="555555"/>
              </w:rPr>
              <w:t>30%</w:t>
            </w:r>
          </w:p>
        </w:tc>
      </w:tr>
      <w:tr w:rsidR="00B05931" w14:paraId="2C020970"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40" w:type="dxa"/>
              <w:bottom w:w="80" w:type="dxa"/>
              <w:right w:w="140" w:type="dxa"/>
            </w:tcMar>
          </w:tcPr>
          <w:p w14:paraId="08200810" w14:textId="77777777" w:rsidR="00B05931" w:rsidRDefault="00852AC2">
            <w:r>
              <w:rPr>
                <w:color w:val="1A1A2E"/>
              </w:rPr>
              <w:t>Returned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FE1FF0A" w14:textId="77777777" w:rsidR="00B05931" w:rsidRDefault="00852AC2">
            <w:r>
              <w:rPr>
                <w:color w:val="555555"/>
              </w:rPr>
              <w:t>24%</w:t>
            </w:r>
          </w:p>
        </w:tc>
      </w:tr>
      <w:tr w:rsidR="00B05931" w14:paraId="3DC2E50B" w14:textId="77777777">
        <w:tc>
          <w:tcPr>
            <w:tcW w:w="468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40" w:type="dxa"/>
              <w:bottom w:w="80" w:type="dxa"/>
              <w:right w:w="140" w:type="dxa"/>
            </w:tcMar>
          </w:tcPr>
          <w:p w14:paraId="6530C941" w14:textId="77777777" w:rsidR="00B05931" w:rsidRDefault="00852AC2">
            <w:r>
              <w:rPr>
                <w:color w:val="1A1A2E"/>
              </w:rPr>
              <w:t>Shipped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BA5ABF7" w14:textId="77777777" w:rsidR="00B05931" w:rsidRDefault="00852AC2">
            <w:r>
              <w:rPr>
                <w:color w:val="555555"/>
              </w:rPr>
              <w:t>20%</w:t>
            </w:r>
          </w:p>
        </w:tc>
      </w:tr>
      <w:tr w:rsidR="00B05931" w14:paraId="5909DADB"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40" w:type="dxa"/>
              <w:bottom w:w="80" w:type="dxa"/>
              <w:right w:w="140" w:type="dxa"/>
            </w:tcMar>
          </w:tcPr>
          <w:p w14:paraId="78D9A751" w14:textId="77777777" w:rsidR="00B05931" w:rsidRDefault="00852AC2">
            <w:r>
              <w:rPr>
                <w:color w:val="1A1A2E"/>
              </w:rPr>
              <w:t>Cancelled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0F4C3D6" w14:textId="77777777" w:rsidR="00B05931" w:rsidRDefault="00852AC2">
            <w:r>
              <w:rPr>
                <w:color w:val="555555"/>
              </w:rPr>
              <w:t>17%</w:t>
            </w:r>
          </w:p>
        </w:tc>
      </w:tr>
      <w:tr w:rsidR="00B05931" w14:paraId="3CC6F235" w14:textId="77777777">
        <w:tc>
          <w:tcPr>
            <w:tcW w:w="468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40" w:type="dxa"/>
              <w:bottom w:w="80" w:type="dxa"/>
              <w:right w:w="140" w:type="dxa"/>
            </w:tcMar>
          </w:tcPr>
          <w:p w14:paraId="6A1DF5E6" w14:textId="77777777" w:rsidR="00B05931" w:rsidRDefault="00852AC2">
            <w:r>
              <w:rPr>
                <w:color w:val="1A1A2E"/>
              </w:rPr>
              <w:t>Delivered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A6F5971" w14:textId="77777777" w:rsidR="00B05931" w:rsidRDefault="00852AC2">
            <w:r>
              <w:rPr>
                <w:color w:val="555555"/>
              </w:rPr>
              <w:t>9%</w:t>
            </w:r>
          </w:p>
        </w:tc>
      </w:tr>
    </w:tbl>
    <w:p w14:paraId="3746B0E6" w14:textId="77777777" w:rsidR="00B05931" w:rsidRDefault="00852AC2">
      <w:pPr>
        <w:spacing w:before="30" w:after="120"/>
        <w:jc w:val="center"/>
      </w:pPr>
      <w:r>
        <w:rPr>
          <w:i/>
          <w:iCs/>
          <w:color w:val="999999"/>
          <w:sz w:val="17"/>
          <w:szCs w:val="17"/>
        </w:rPr>
        <w:t>Table A2 — Order Status Distribution</w:t>
      </w:r>
    </w:p>
    <w:p w14:paraId="2DFD32A2" w14:textId="77777777" w:rsidR="00B05931" w:rsidRDefault="00B05931">
      <w:pPr>
        <w:spacing w:before="140"/>
      </w:pPr>
    </w:p>
    <w:p w14:paraId="658C4AD7" w14:textId="77777777" w:rsidR="00B05931" w:rsidRDefault="00852AC2">
      <w:pPr>
        <w:pStyle w:val="Heading2"/>
      </w:pPr>
      <w:r>
        <w:t>C. Top 5 Products by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5931" w14:paraId="4EC09976" w14:textId="77777777">
        <w:tc>
          <w:tcPr>
            <w:tcW w:w="4680" w:type="dxa"/>
            <w:tcBorders>
              <w:top w:val="single" w:sz="1" w:space="0" w:color="DDDDDD"/>
              <w:left w:val="single" w:sz="1" w:space="0" w:color="DDDDDD"/>
              <w:bottom w:val="single" w:sz="1" w:space="0" w:color="DDDDDD"/>
              <w:right w:val="single" w:sz="1" w:space="0" w:color="DDDDDD"/>
            </w:tcBorders>
            <w:shd w:val="clear" w:color="auto" w:fill="6B2D8B"/>
            <w:tcMar>
              <w:top w:w="80" w:type="dxa"/>
              <w:left w:w="140" w:type="dxa"/>
              <w:bottom w:w="80" w:type="dxa"/>
              <w:right w:w="140" w:type="dxa"/>
            </w:tcMar>
          </w:tcPr>
          <w:p w14:paraId="521FF9B7" w14:textId="77777777" w:rsidR="00B05931" w:rsidRDefault="00852AC2">
            <w:r>
              <w:rPr>
                <w:b/>
                <w:bCs/>
                <w:color w:val="FFFFFF"/>
              </w:rPr>
              <w:t>Product</w:t>
            </w:r>
          </w:p>
        </w:tc>
        <w:tc>
          <w:tcPr>
            <w:tcW w:w="4680" w:type="dxa"/>
            <w:tcBorders>
              <w:top w:val="single" w:sz="1" w:space="0" w:color="DDDDDD"/>
              <w:left w:val="single" w:sz="1" w:space="0" w:color="DDDDDD"/>
              <w:bottom w:val="single" w:sz="1" w:space="0" w:color="DDDDDD"/>
              <w:right w:val="single" w:sz="1" w:space="0" w:color="DDDDDD"/>
            </w:tcBorders>
            <w:shd w:val="clear" w:color="auto" w:fill="6B2D8B"/>
            <w:tcMar>
              <w:top w:w="80" w:type="dxa"/>
              <w:left w:w="140" w:type="dxa"/>
              <w:bottom w:w="80" w:type="dxa"/>
              <w:right w:w="140" w:type="dxa"/>
            </w:tcMar>
          </w:tcPr>
          <w:p w14:paraId="2FBBB2A1" w14:textId="77777777" w:rsidR="00B05931" w:rsidRDefault="00852AC2">
            <w:r>
              <w:rPr>
                <w:b/>
                <w:bCs/>
                <w:color w:val="FFFFFF"/>
              </w:rPr>
              <w:t>Revenue (₹)</w:t>
            </w:r>
          </w:p>
        </w:tc>
      </w:tr>
      <w:tr w:rsidR="00B05931" w14:paraId="6354A3D6" w14:textId="77777777">
        <w:tc>
          <w:tcPr>
            <w:tcW w:w="468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40" w:type="dxa"/>
              <w:bottom w:w="80" w:type="dxa"/>
              <w:right w:w="140" w:type="dxa"/>
            </w:tcMar>
          </w:tcPr>
          <w:p w14:paraId="4DCC2EF0" w14:textId="77777777" w:rsidR="00B05931" w:rsidRDefault="00852AC2">
            <w:r>
              <w:rPr>
                <w:color w:val="1A1A2E"/>
              </w:rPr>
              <w:t>Blender</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D319CAF" w14:textId="77777777" w:rsidR="00B05931" w:rsidRDefault="00852AC2">
            <w:r>
              <w:rPr>
                <w:color w:val="555555"/>
              </w:rPr>
              <w:t>₹31,000</w:t>
            </w:r>
          </w:p>
        </w:tc>
      </w:tr>
      <w:tr w:rsidR="00B05931" w14:paraId="7B0A7E0D"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40" w:type="dxa"/>
              <w:bottom w:w="80" w:type="dxa"/>
              <w:right w:w="140" w:type="dxa"/>
            </w:tcMar>
          </w:tcPr>
          <w:p w14:paraId="411E46C6" w14:textId="77777777" w:rsidR="00B05931" w:rsidRDefault="00852AC2">
            <w:r>
              <w:rPr>
                <w:color w:val="1A1A2E"/>
              </w:rPr>
              <w:t>Shoes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18DE156" w14:textId="77777777" w:rsidR="00B05931" w:rsidRDefault="00852AC2">
            <w:r>
              <w:rPr>
                <w:color w:val="555555"/>
              </w:rPr>
              <w:t>₹18,000</w:t>
            </w:r>
          </w:p>
        </w:tc>
      </w:tr>
      <w:tr w:rsidR="00B05931" w14:paraId="36E080A1" w14:textId="77777777">
        <w:tc>
          <w:tcPr>
            <w:tcW w:w="468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40" w:type="dxa"/>
              <w:bottom w:w="80" w:type="dxa"/>
              <w:right w:w="140" w:type="dxa"/>
            </w:tcMar>
          </w:tcPr>
          <w:p w14:paraId="5C92A272" w14:textId="77777777" w:rsidR="00B05931" w:rsidRDefault="00852AC2">
            <w:r>
              <w:rPr>
                <w:color w:val="1A1A2E"/>
              </w:rPr>
              <w:t>Comics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06ED4A5" w14:textId="77777777" w:rsidR="00B05931" w:rsidRDefault="00852AC2">
            <w:r>
              <w:rPr>
                <w:color w:val="555555"/>
              </w:rPr>
              <w:t>₹18,000</w:t>
            </w:r>
          </w:p>
        </w:tc>
      </w:tr>
      <w:tr w:rsidR="00B05931" w14:paraId="5F977010"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40" w:type="dxa"/>
              <w:bottom w:w="80" w:type="dxa"/>
              <w:right w:w="140" w:type="dxa"/>
            </w:tcMar>
          </w:tcPr>
          <w:p w14:paraId="5DB36D4A" w14:textId="77777777" w:rsidR="00B05931" w:rsidRDefault="00852AC2">
            <w:r>
              <w:rPr>
                <w:color w:val="1A1A2E"/>
              </w:rPr>
              <w:t>Lamp</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7749C27" w14:textId="77777777" w:rsidR="00B05931" w:rsidRDefault="00852AC2">
            <w:r>
              <w:rPr>
                <w:color w:val="555555"/>
              </w:rPr>
              <w:t>₹14,000</w:t>
            </w:r>
          </w:p>
        </w:tc>
      </w:tr>
      <w:tr w:rsidR="00B05931" w14:paraId="24112282" w14:textId="77777777">
        <w:tc>
          <w:tcPr>
            <w:tcW w:w="468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40" w:type="dxa"/>
              <w:bottom w:w="80" w:type="dxa"/>
              <w:right w:w="140" w:type="dxa"/>
            </w:tcMar>
          </w:tcPr>
          <w:p w14:paraId="4FB3053B" w14:textId="77777777" w:rsidR="00B05931" w:rsidRDefault="00852AC2">
            <w:r>
              <w:rPr>
                <w:color w:val="1A1A2E"/>
              </w:rPr>
              <w:t>Basketball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1DC8619" w14:textId="77777777" w:rsidR="00B05931" w:rsidRDefault="00852AC2">
            <w:r>
              <w:rPr>
                <w:color w:val="555555"/>
              </w:rPr>
              <w:t>₹12,000</w:t>
            </w:r>
          </w:p>
        </w:tc>
      </w:tr>
    </w:tbl>
    <w:p w14:paraId="40659C42" w14:textId="77777777" w:rsidR="00B05931" w:rsidRDefault="00852AC2">
      <w:pPr>
        <w:spacing w:before="30" w:after="120"/>
        <w:jc w:val="center"/>
      </w:pPr>
      <w:r>
        <w:rPr>
          <w:i/>
          <w:iCs/>
          <w:color w:val="999999"/>
          <w:sz w:val="17"/>
          <w:szCs w:val="17"/>
        </w:rPr>
        <w:t>Table A3 — Top 5 Products by Revenue</w:t>
      </w:r>
    </w:p>
    <w:p w14:paraId="15287150" w14:textId="77777777" w:rsidR="00B05931" w:rsidRDefault="00B05931">
      <w:pPr>
        <w:spacing w:before="140"/>
      </w:pPr>
    </w:p>
    <w:p w14:paraId="4B8FBBAA" w14:textId="77777777" w:rsidR="00B05931" w:rsidRDefault="00852AC2">
      <w:pPr>
        <w:pStyle w:val="Heading2"/>
      </w:pPr>
      <w:r>
        <w:t>D. Revenue by Payment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5931" w14:paraId="7A59EA39" w14:textId="77777777">
        <w:tc>
          <w:tcPr>
            <w:tcW w:w="4680" w:type="dxa"/>
            <w:tcBorders>
              <w:top w:val="single" w:sz="1" w:space="0" w:color="DDDDDD"/>
              <w:left w:val="single" w:sz="1" w:space="0" w:color="DDDDDD"/>
              <w:bottom w:val="single" w:sz="1" w:space="0" w:color="DDDDDD"/>
              <w:right w:val="single" w:sz="1" w:space="0" w:color="DDDDDD"/>
            </w:tcBorders>
            <w:shd w:val="clear" w:color="auto" w:fill="D63384"/>
            <w:tcMar>
              <w:top w:w="80" w:type="dxa"/>
              <w:left w:w="140" w:type="dxa"/>
              <w:bottom w:w="80" w:type="dxa"/>
              <w:right w:w="140" w:type="dxa"/>
            </w:tcMar>
          </w:tcPr>
          <w:p w14:paraId="641F4C09" w14:textId="77777777" w:rsidR="00B05931" w:rsidRDefault="00852AC2">
            <w:r>
              <w:rPr>
                <w:b/>
                <w:bCs/>
                <w:color w:val="FFFFFF"/>
              </w:rPr>
              <w:t>Payment Method</w:t>
            </w:r>
          </w:p>
        </w:tc>
        <w:tc>
          <w:tcPr>
            <w:tcW w:w="4680" w:type="dxa"/>
            <w:tcBorders>
              <w:top w:val="single" w:sz="1" w:space="0" w:color="DDDDDD"/>
              <w:left w:val="single" w:sz="1" w:space="0" w:color="DDDDDD"/>
              <w:bottom w:val="single" w:sz="1" w:space="0" w:color="DDDDDD"/>
              <w:right w:val="single" w:sz="1" w:space="0" w:color="DDDDDD"/>
            </w:tcBorders>
            <w:shd w:val="clear" w:color="auto" w:fill="D63384"/>
            <w:tcMar>
              <w:top w:w="80" w:type="dxa"/>
              <w:left w:w="140" w:type="dxa"/>
              <w:bottom w:w="80" w:type="dxa"/>
              <w:right w:w="140" w:type="dxa"/>
            </w:tcMar>
          </w:tcPr>
          <w:p w14:paraId="1FB4E8F6" w14:textId="77777777" w:rsidR="00B05931" w:rsidRDefault="00852AC2">
            <w:r>
              <w:rPr>
                <w:b/>
                <w:bCs/>
                <w:color w:val="FFFFFF"/>
              </w:rPr>
              <w:t>Revenue Share (%)</w:t>
            </w:r>
          </w:p>
        </w:tc>
      </w:tr>
      <w:tr w:rsidR="00B05931" w14:paraId="428DA69A" w14:textId="77777777">
        <w:tc>
          <w:tcPr>
            <w:tcW w:w="468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40" w:type="dxa"/>
              <w:bottom w:w="80" w:type="dxa"/>
              <w:right w:w="140" w:type="dxa"/>
            </w:tcMar>
          </w:tcPr>
          <w:p w14:paraId="667B8A23" w14:textId="77777777" w:rsidR="00B05931" w:rsidRDefault="00852AC2">
            <w:r>
              <w:rPr>
                <w:color w:val="1A1A2E"/>
              </w:rPr>
              <w:lastRenderedPageBreak/>
              <w:t>Cash on Delivery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C6F3D41" w14:textId="77777777" w:rsidR="00B05931" w:rsidRDefault="00852AC2">
            <w:r>
              <w:rPr>
                <w:color w:val="555555"/>
              </w:rPr>
              <w:t>41%</w:t>
            </w:r>
          </w:p>
        </w:tc>
      </w:tr>
      <w:tr w:rsidR="00B05931" w14:paraId="7F1087E8"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40" w:type="dxa"/>
              <w:bottom w:w="80" w:type="dxa"/>
              <w:right w:w="140" w:type="dxa"/>
            </w:tcMar>
          </w:tcPr>
          <w:p w14:paraId="4F3D406E" w14:textId="77777777" w:rsidR="00B05931" w:rsidRDefault="00852AC2">
            <w:r>
              <w:rPr>
                <w:color w:val="1A1A2E"/>
              </w:rPr>
              <w:t>Bank Transfer</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BDD97AB" w14:textId="77777777" w:rsidR="00B05931" w:rsidRDefault="00852AC2">
            <w:r>
              <w:rPr>
                <w:color w:val="555555"/>
              </w:rPr>
              <w:t>26%</w:t>
            </w:r>
          </w:p>
        </w:tc>
      </w:tr>
      <w:tr w:rsidR="00B05931" w14:paraId="539F680C" w14:textId="77777777">
        <w:tc>
          <w:tcPr>
            <w:tcW w:w="468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40" w:type="dxa"/>
              <w:bottom w:w="80" w:type="dxa"/>
              <w:right w:w="140" w:type="dxa"/>
            </w:tcMar>
          </w:tcPr>
          <w:p w14:paraId="383ADB2C" w14:textId="77777777" w:rsidR="00B05931" w:rsidRDefault="00852AC2">
            <w:r>
              <w:rPr>
                <w:color w:val="1A1A2E"/>
              </w:rPr>
              <w:t>PayPal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4F7059E" w14:textId="77777777" w:rsidR="00B05931" w:rsidRDefault="00852AC2">
            <w:r>
              <w:rPr>
                <w:color w:val="555555"/>
              </w:rPr>
              <w:t>19%</w:t>
            </w:r>
          </w:p>
        </w:tc>
      </w:tr>
      <w:tr w:rsidR="00B05931" w14:paraId="4366B793"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40" w:type="dxa"/>
              <w:bottom w:w="80" w:type="dxa"/>
              <w:right w:w="140" w:type="dxa"/>
            </w:tcMar>
          </w:tcPr>
          <w:p w14:paraId="2567728C" w14:textId="77777777" w:rsidR="00B05931" w:rsidRDefault="00852AC2">
            <w:r>
              <w:rPr>
                <w:color w:val="1A1A2E"/>
              </w:rPr>
              <w:t>Credit Card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CA224B4" w14:textId="77777777" w:rsidR="00B05931" w:rsidRDefault="00852AC2">
            <w:r>
              <w:rPr>
                <w:color w:val="555555"/>
              </w:rPr>
              <w:t>14%</w:t>
            </w:r>
          </w:p>
        </w:tc>
      </w:tr>
    </w:tbl>
    <w:p w14:paraId="569D665B" w14:textId="77777777" w:rsidR="00B05931" w:rsidRDefault="00852AC2">
      <w:pPr>
        <w:spacing w:before="30" w:after="120"/>
        <w:jc w:val="center"/>
      </w:pPr>
      <w:r>
        <w:rPr>
          <w:i/>
          <w:iCs/>
          <w:color w:val="999999"/>
          <w:sz w:val="17"/>
          <w:szCs w:val="17"/>
        </w:rPr>
        <w:t>Table A4 — Revenue by Payment Method</w:t>
      </w:r>
    </w:p>
    <w:sectPr w:rsidR="00B05931">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F704F" w14:textId="77777777" w:rsidR="00DC0405" w:rsidRDefault="00852AC2">
      <w:r>
        <w:separator/>
      </w:r>
    </w:p>
  </w:endnote>
  <w:endnote w:type="continuationSeparator" w:id="0">
    <w:p w14:paraId="6CC027C4" w14:textId="77777777" w:rsidR="00DC0405" w:rsidRDefault="00852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BEAAD" w14:textId="46E5F0EF" w:rsidR="00B05931" w:rsidRDefault="00852AC2">
    <w:pPr>
      <w:pBdr>
        <w:top w:val="single" w:sz="4" w:space="1" w:color="6B2D8B"/>
      </w:pBdr>
      <w:spacing w:before="80"/>
      <w:jc w:val="center"/>
    </w:pPr>
    <w:r>
      <w:rPr>
        <w:color w:val="AAAAAA"/>
        <w:sz w:val="17"/>
        <w:szCs w:val="17"/>
      </w:rPr>
      <w:t xml:space="preserve">Page </w:t>
    </w:r>
    <w:r>
      <w:rPr>
        <w:b/>
        <w:bCs/>
        <w:color w:val="6B2D8B"/>
        <w:sz w:val="17"/>
        <w:szCs w:val="17"/>
      </w:rPr>
      <w:fldChar w:fldCharType="begin"/>
    </w:r>
    <w:r>
      <w:rPr>
        <w:b/>
        <w:bCs/>
        <w:color w:val="6B2D8B"/>
        <w:sz w:val="17"/>
        <w:szCs w:val="17"/>
      </w:rPr>
      <w:instrText>PAGE</w:instrText>
    </w:r>
    <w:r>
      <w:rPr>
        <w:b/>
        <w:bCs/>
        <w:color w:val="6B2D8B"/>
        <w:sz w:val="17"/>
        <w:szCs w:val="17"/>
      </w:rPr>
      <w:fldChar w:fldCharType="separate"/>
    </w:r>
    <w:r>
      <w:rPr>
        <w:b/>
        <w:bCs/>
        <w:noProof/>
        <w:color w:val="6B2D8B"/>
        <w:sz w:val="17"/>
        <w:szCs w:val="17"/>
      </w:rPr>
      <w:t>1</w:t>
    </w:r>
    <w:r>
      <w:rPr>
        <w:b/>
        <w:bCs/>
        <w:color w:val="6B2D8B"/>
        <w:sz w:val="17"/>
        <w:szCs w:val="17"/>
      </w:rPr>
      <w:fldChar w:fldCharType="end"/>
    </w:r>
    <w:r>
      <w:rPr>
        <w:color w:val="AAAAAA"/>
        <w:sz w:val="17"/>
        <w:szCs w:val="17"/>
      </w:rPr>
      <w:t xml:space="preserve">  |  Confidential — Academic </w:t>
    </w:r>
    <w:proofErr w:type="gramStart"/>
    <w:r>
      <w:rPr>
        <w:color w:val="AAAAAA"/>
        <w:sz w:val="17"/>
        <w:szCs w:val="17"/>
      </w:rPr>
      <w:t>Submission  |</w:t>
    </w:r>
    <w:proofErr w:type="gramEnd"/>
    <w:r>
      <w:rPr>
        <w:color w:val="AAAAAA"/>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8FD32" w14:textId="77777777" w:rsidR="00DC0405" w:rsidRDefault="00852AC2">
      <w:r>
        <w:separator/>
      </w:r>
    </w:p>
  </w:footnote>
  <w:footnote w:type="continuationSeparator" w:id="0">
    <w:p w14:paraId="3012BA57" w14:textId="77777777" w:rsidR="00DC0405" w:rsidRDefault="00852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01FA5" w14:textId="77777777" w:rsidR="00B05931" w:rsidRDefault="00852AC2">
    <w:pPr>
      <w:pBdr>
        <w:bottom w:val="single" w:sz="4" w:space="1" w:color="D63384"/>
      </w:pBdr>
      <w:spacing w:after="80"/>
      <w:jc w:val="right"/>
    </w:pPr>
    <w:r>
      <w:rPr>
        <w:i/>
        <w:iCs/>
        <w:color w:val="AAAAAA"/>
        <w:sz w:val="17"/>
        <w:szCs w:val="17"/>
      </w:rPr>
      <w:t xml:space="preserve">E-Commerce Dashboard </w:t>
    </w:r>
    <w:proofErr w:type="gramStart"/>
    <w:r>
      <w:rPr>
        <w:i/>
        <w:iCs/>
        <w:color w:val="AAAAAA"/>
        <w:sz w:val="17"/>
        <w:szCs w:val="17"/>
      </w:rPr>
      <w:t>Analysis  |</w:t>
    </w:r>
    <w:proofErr w:type="gramEnd"/>
    <w:r>
      <w:rPr>
        <w:i/>
        <w:iCs/>
        <w:color w:val="AAAAAA"/>
        <w:sz w:val="17"/>
        <w:szCs w:val="17"/>
      </w:rPr>
      <w:t xml:space="preserve">  Report ID: FY23-25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80BB3"/>
    <w:multiLevelType w:val="hybridMultilevel"/>
    <w:tmpl w:val="E41EF8AC"/>
    <w:lvl w:ilvl="0" w:tplc="84542800">
      <w:start w:val="1"/>
      <w:numFmt w:val="bullet"/>
      <w:lvlText w:val="●"/>
      <w:lvlJc w:val="left"/>
      <w:pPr>
        <w:ind w:left="720" w:hanging="360"/>
      </w:pPr>
    </w:lvl>
    <w:lvl w:ilvl="1" w:tplc="0156C362">
      <w:start w:val="1"/>
      <w:numFmt w:val="bullet"/>
      <w:lvlText w:val="○"/>
      <w:lvlJc w:val="left"/>
      <w:pPr>
        <w:ind w:left="1440" w:hanging="360"/>
      </w:pPr>
    </w:lvl>
    <w:lvl w:ilvl="2" w:tplc="369C6152">
      <w:start w:val="1"/>
      <w:numFmt w:val="bullet"/>
      <w:lvlText w:val="■"/>
      <w:lvlJc w:val="left"/>
      <w:pPr>
        <w:ind w:left="2160" w:hanging="360"/>
      </w:pPr>
    </w:lvl>
    <w:lvl w:ilvl="3" w:tplc="EAE27C12">
      <w:start w:val="1"/>
      <w:numFmt w:val="bullet"/>
      <w:lvlText w:val="●"/>
      <w:lvlJc w:val="left"/>
      <w:pPr>
        <w:ind w:left="2880" w:hanging="360"/>
      </w:pPr>
    </w:lvl>
    <w:lvl w:ilvl="4" w:tplc="38AC9DDA">
      <w:start w:val="1"/>
      <w:numFmt w:val="bullet"/>
      <w:lvlText w:val="○"/>
      <w:lvlJc w:val="left"/>
      <w:pPr>
        <w:ind w:left="3600" w:hanging="360"/>
      </w:pPr>
    </w:lvl>
    <w:lvl w:ilvl="5" w:tplc="36D0568A">
      <w:start w:val="1"/>
      <w:numFmt w:val="bullet"/>
      <w:lvlText w:val="■"/>
      <w:lvlJc w:val="left"/>
      <w:pPr>
        <w:ind w:left="4320" w:hanging="360"/>
      </w:pPr>
    </w:lvl>
    <w:lvl w:ilvl="6" w:tplc="6FBE5C5E">
      <w:start w:val="1"/>
      <w:numFmt w:val="bullet"/>
      <w:lvlText w:val="●"/>
      <w:lvlJc w:val="left"/>
      <w:pPr>
        <w:ind w:left="5040" w:hanging="360"/>
      </w:pPr>
    </w:lvl>
    <w:lvl w:ilvl="7" w:tplc="DD521064">
      <w:start w:val="1"/>
      <w:numFmt w:val="bullet"/>
      <w:lvlText w:val="●"/>
      <w:lvlJc w:val="left"/>
      <w:pPr>
        <w:ind w:left="5760" w:hanging="360"/>
      </w:pPr>
    </w:lvl>
    <w:lvl w:ilvl="8" w:tplc="21A051D0">
      <w:start w:val="1"/>
      <w:numFmt w:val="bullet"/>
      <w:lvlText w:val="●"/>
      <w:lvlJc w:val="left"/>
      <w:pPr>
        <w:ind w:left="6480" w:hanging="360"/>
      </w:pPr>
    </w:lvl>
  </w:abstractNum>
  <w:num w:numId="1" w16cid:durableId="403458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931"/>
    <w:rsid w:val="003C3C51"/>
    <w:rsid w:val="00852AC2"/>
    <w:rsid w:val="00B05931"/>
    <w:rsid w:val="00DC0405"/>
    <w:rsid w:val="00EA7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39928"/>
  <w15:docId w15:val="{DFEB5B3B-D790-4FAD-BCEA-D9FAB4DC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6B2D8B"/>
      <w:sz w:val="30"/>
      <w:szCs w:val="30"/>
    </w:rPr>
  </w:style>
  <w:style w:type="paragraph" w:styleId="Heading2">
    <w:name w:val="heading 2"/>
    <w:uiPriority w:val="9"/>
    <w:unhideWhenUsed/>
    <w:qFormat/>
    <w:pPr>
      <w:spacing w:before="200" w:after="80"/>
      <w:outlineLvl w:val="1"/>
    </w:pPr>
    <w:rPr>
      <w:b/>
      <w:bCs/>
      <w:color w:val="D6338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7A9E"/>
    <w:pPr>
      <w:tabs>
        <w:tab w:val="center" w:pos="4513"/>
        <w:tab w:val="right" w:pos="9026"/>
      </w:tabs>
    </w:pPr>
  </w:style>
  <w:style w:type="character" w:customStyle="1" w:styleId="HeaderChar">
    <w:name w:val="Header Char"/>
    <w:basedOn w:val="DefaultParagraphFont"/>
    <w:link w:val="Header"/>
    <w:uiPriority w:val="99"/>
    <w:rsid w:val="00EA7A9E"/>
  </w:style>
  <w:style w:type="paragraph" w:styleId="Footer">
    <w:name w:val="footer"/>
    <w:basedOn w:val="Normal"/>
    <w:link w:val="FooterChar"/>
    <w:uiPriority w:val="99"/>
    <w:unhideWhenUsed/>
    <w:rsid w:val="00EA7A9E"/>
    <w:pPr>
      <w:tabs>
        <w:tab w:val="center" w:pos="4513"/>
        <w:tab w:val="right" w:pos="9026"/>
      </w:tabs>
    </w:pPr>
  </w:style>
  <w:style w:type="character" w:customStyle="1" w:styleId="FooterChar">
    <w:name w:val="Footer Char"/>
    <w:basedOn w:val="DefaultParagraphFont"/>
    <w:link w:val="Footer"/>
    <w:uiPriority w:val="99"/>
    <w:rsid w:val="00EA7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2053</Words>
  <Characters>11706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ASDC6</cp:lastModifiedBy>
  <cp:revision>3</cp:revision>
  <dcterms:created xsi:type="dcterms:W3CDTF">2026-04-02T04:45:00Z</dcterms:created>
  <dcterms:modified xsi:type="dcterms:W3CDTF">2026-04-02T05:55:00Z</dcterms:modified>
</cp:coreProperties>
</file>