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 SPECIFICATION</w:t>
      </w:r>
    </w:p>
    <w:p>
      <w:pPr>
        <w:jc w:val="center"/>
      </w:pPr>
      <w:r>
        <w:rPr>
          <w:sz w:val="32"/>
        </w:rPr>
        <w:t>Vendor Onboarding Compliance Screening</w:t>
      </w:r>
    </w:p>
    <w:p>
      <w:pPr>
        <w:spacing w:after="100"/>
      </w:pPr>
      <w:r>
        <w:rPr>
          <w:b/>
        </w:rPr>
        <w:t>Version:</w:t>
      </w:r>
      <w:r>
        <w:t xml:space="preserve"> 1.1</w:t>
      </w:r>
    </w:p>
    <w:p>
      <w:pPr>
        <w:spacing w:after="100"/>
      </w:pPr>
      <w:r>
        <w:rPr>
          <w:b/>
        </w:rPr>
        <w:t>Date:</w:t>
      </w:r>
      <w:r>
        <w:t xml:space="preserve"> 06 Apr 2026</w:t>
      </w:r>
    </w:p>
    <w:p>
      <w:pPr>
        <w:spacing w:after="100"/>
      </w:pPr>
      <w:r>
        <w:rPr>
          <w:b/>
        </w:rPr>
        <w:t>Business Owner:</w:t>
      </w:r>
      <w:r>
        <w:t xml:space="preserve"> Global Procurement – Supplier Risk</w:t>
      </w:r>
    </w:p>
    <w:p>
      <w:pPr>
        <w:spacing w:after="100"/>
      </w:pPr>
      <w:r>
        <w:rPr>
          <w:b/>
        </w:rPr>
        <w:t>Status:</w:t>
      </w:r>
      <w:r>
        <w:t xml:space="preserve"> For review</w:t>
      </w:r>
    </w:p>
    <w:p>
      <w:pPr>
        <w:pStyle w:val="Heading1"/>
      </w:pPr>
      <w:r>
        <w:t>1) Overview</w:t>
      </w:r>
    </w:p>
    <w:p>
      <w:pPr>
        <w:spacing w:after="100"/>
      </w:pPr>
      <w:r>
        <w:t>Vendor Compliance Screening will automate document checks and sanctions screening during supplier onboarding.</w:t>
      </w:r>
    </w:p>
    <w:p>
      <w:pPr>
        <w:spacing w:after="100"/>
      </w:pPr>
      <w:r>
        <w:t>MVP1 extracts data from onboarding documents (tax certificates, insurance certificates, bank letters), validates them against the onboarding form, screens the supplier and its owners against sanctions lists through a third-party screening API, and produces a risk summary for Supplier Risk Analysts. MVP2 adds continuous monitoring and SAP Ariba integration.</w:t>
      </w:r>
    </w:p>
    <w:p>
      <w:pPr>
        <w:pStyle w:val="Heading1"/>
      </w:pPr>
      <w:r>
        <w:t>2) Background</w:t>
      </w:r>
    </w:p>
    <w:p>
      <w:pPr>
        <w:spacing w:after="100"/>
      </w:pPr>
      <w:r>
        <w:t>Supplier onboarding takes 4–6 weeks; manual document checks are a major bottleneck.</w:t>
      </w:r>
    </w:p>
    <w:p>
      <w:pPr>
        <w:spacing w:after="100"/>
      </w:pPr>
      <w:r>
        <w:t>Audit requires evidence of sanctions screening for every new supplier.</w:t>
      </w:r>
    </w:p>
    <w:p>
      <w:pPr>
        <w:pStyle w:val="Heading1"/>
      </w:pPr>
      <w:r>
        <w:t>3) Goals &amp; Objectives</w:t>
      </w:r>
    </w:p>
    <w:p>
      <w:pPr>
        <w:spacing w:after="60"/>
        <w:ind w:left="432"/>
      </w:pPr>
      <w:r>
        <w:t xml:space="preserve">– </w:t>
      </w:r>
      <w:r>
        <w:t>Reduce document review time by 70%</w:t>
      </w:r>
    </w:p>
    <w:p>
      <w:pPr>
        <w:spacing w:after="60"/>
        <w:ind w:left="432"/>
      </w:pPr>
      <w:r>
        <w:t xml:space="preserve">– </w:t>
      </w:r>
      <w:r>
        <w:t>Screen 100% of new suppliers before approval</w:t>
      </w:r>
    </w:p>
    <w:p>
      <w:pPr>
        <w:spacing w:after="60"/>
        <w:ind w:left="432"/>
      </w:pPr>
      <w:r>
        <w:t xml:space="preserve">– </w:t>
      </w:r>
      <w:r>
        <w:t>Produce audit-ready evidence</w:t>
      </w:r>
    </w:p>
    <w:p>
      <w:pPr>
        <w:spacing w:after="60"/>
        <w:ind w:left="432"/>
      </w:pPr>
      <w:r>
        <w:t xml:space="preserve">– </w:t>
      </w:r>
      <w:r>
        <w:t>Reduce onboarding time to under 2 weeks</w:t>
      </w:r>
    </w:p>
    <w:p>
      <w:pPr>
        <w:pStyle w:val="Heading1"/>
      </w:pPr>
      <w:r>
        <w:t>4) 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Scope</w:t>
            </w:r>
          </w:p>
        </w:tc>
      </w:tr>
      <w:tr>
        <w:tc>
          <w:tcPr>
            <w:tcW w:type="dxa" w:w="4680"/>
          </w:tcPr>
          <w:p>
            <w:r>
              <w:t>In scope (MVP1)</w:t>
            </w:r>
          </w:p>
        </w:tc>
        <w:tc>
          <w:tcPr>
            <w:tcW w:type="dxa" w:w="4680"/>
          </w:tcPr>
          <w:p>
            <w:r>
              <w:t>Onboarding package upload, document classification and extraction, cross-checks against onboarding form (name, tax ID, address, bank account holder), expiry checks, sanctions screening via API, risk summary with Low/Medium/High rating, analyst decision and evidence pack</w:t>
            </w:r>
          </w:p>
        </w:tc>
      </w:tr>
      <w:tr>
        <w:tc>
          <w:tcPr>
            <w:tcW w:type="dxa" w:w="4680"/>
          </w:tcPr>
          <w:p>
            <w:r>
              <w:t>In scope (MVP2)</w:t>
            </w:r>
          </w:p>
        </w:tc>
        <w:tc>
          <w:tcPr>
            <w:tcW w:type="dxa" w:w="4680"/>
          </w:tcPr>
          <w:p>
            <w:r>
              <w:t>Continuous sanctions monitoring, SAP Ariba integration, supplier self-service upload, document expiry reminders</w:t>
            </w:r>
          </w:p>
        </w:tc>
      </w:tr>
      <w:tr>
        <w:tc>
          <w:tcPr>
            <w:tcW w:type="dxa" w:w="4680"/>
          </w:tcPr>
          <w:p>
            <w:r>
              <w:t>Out of scope</w:t>
            </w:r>
          </w:p>
        </w:tc>
        <w:tc>
          <w:tcPr>
            <w:tcW w:type="dxa" w:w="4680"/>
          </w:tcPr>
          <w:p>
            <w:r>
              <w:t>Supplier performance management, contract negotiation, payment setup in ERP</w:t>
            </w:r>
          </w:p>
        </w:tc>
      </w:tr>
    </w:tbl>
    <w:p/>
    <w:p>
      <w:pPr>
        <w:pStyle w:val="Heading1"/>
      </w:pPr>
      <w:r>
        <w:t>5)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Persona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680"/>
          </w:tcPr>
          <w:p>
            <w:r>
              <w:t>Supplier Risk Analyst</w:t>
            </w:r>
          </w:p>
        </w:tc>
        <w:tc>
          <w:tcPr>
            <w:tcW w:type="dxa" w:w="4680"/>
          </w:tcPr>
          <w:p>
            <w:r>
              <w:t>Upload packages, review checks and screening results, decide approve/reject/request info</w:t>
            </w:r>
          </w:p>
        </w:tc>
      </w:tr>
      <w:tr>
        <w:tc>
          <w:tcPr>
            <w:tcW w:type="dxa" w:w="4680"/>
          </w:tcPr>
          <w:p>
            <w:r>
              <w:t>Compliance Manager</w:t>
            </w:r>
          </w:p>
        </w:tc>
        <w:tc>
          <w:tcPr>
            <w:tcW w:type="dxa" w:w="4680"/>
          </w:tcPr>
          <w:p>
            <w:r>
              <w:t>Approve High-risk suppliers and clear potential sanctions matches</w:t>
            </w:r>
          </w:p>
        </w:tc>
      </w:tr>
      <w:tr>
        <w:tc>
          <w:tcPr>
            <w:tcW w:type="dxa" w:w="4680"/>
          </w:tcPr>
          <w:p>
            <w:r>
              <w:t>Risk Admin</w:t>
            </w:r>
          </w:p>
        </w:tc>
        <w:tc>
          <w:tcPr>
            <w:tcW w:type="dxa" w:w="4680"/>
          </w:tcPr>
          <w:p>
            <w:r>
              <w:t>Maintain document types, risk rules and screening settings</w:t>
            </w:r>
          </w:p>
        </w:tc>
      </w:tr>
    </w:tbl>
    <w:p/>
    <w:p>
      <w:pPr>
        <w:pStyle w:val="Heading1"/>
      </w:pPr>
      <w:r>
        <w:t>6) Sample Use Cases &amp; User Stories</w:t>
      </w:r>
    </w:p>
    <w:p>
      <w:pPr>
        <w:spacing w:after="60"/>
        <w:ind w:left="432"/>
      </w:pPr>
      <w:r>
        <w:t xml:space="preserve">– </w:t>
      </w:r>
      <w:r>
        <w:t>As an analyst, I see each document classified with extracted fields and mismatches against the form highlighted.</w:t>
      </w:r>
    </w:p>
    <w:p>
      <w:pPr>
        <w:spacing w:after="60"/>
        <w:ind w:left="432"/>
      </w:pPr>
      <w:r>
        <w:t xml:space="preserve">– </w:t>
      </w:r>
      <w:r>
        <w:t>As an analyst, I see screening results as No Match, Potential Match or Confirmed Match.</w:t>
      </w:r>
    </w:p>
    <w:p>
      <w:pPr>
        <w:spacing w:after="60"/>
        <w:ind w:left="432"/>
      </w:pPr>
      <w:r>
        <w:t xml:space="preserve">– </w:t>
      </w:r>
      <w:r>
        <w:t>As a Compliance Manager, I must clear every Potential Match with a reason before approval.</w:t>
      </w:r>
    </w:p>
    <w:p>
      <w:pPr>
        <w:spacing w:after="60"/>
        <w:ind w:left="432"/>
      </w:pPr>
      <w:r>
        <w:t xml:space="preserve">– </w:t>
      </w:r>
      <w:r>
        <w:t>As an analyst, I can download an evidence pack (PDF) for audit.</w:t>
      </w:r>
    </w:p>
    <w:p>
      <w:pPr>
        <w:spacing w:after="100"/>
      </w:pPr>
      <w:r>
        <w:t>Open question: confirm with business owner.</w:t>
      </w:r>
    </w:p>
    <w:p>
      <w:pPr>
        <w:pStyle w:val="Heading1"/>
      </w:pPr>
      <w:r>
        <w:t>7)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Upload of onboarding package (PDF, JPG, PNG; max 15 MB per file).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Document classification (W-9/tax certificate, insurance certificate, bank letter, certificate of incorporation) and field extraction with Azure Document Intelligence.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Cross-checks: legal name, tax ID format and match, address, bank account holder = legal name; insurance coverage ≥ USD 2M and not expired.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Sanctions screening of supplier and listed owners via third-party screening API through APIM.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Risk rating: High if any Confirmed Match, expired insurance or tax ID mismatch; Medium if Potential Match or minor mismatch; else Low.</w:t>
            </w:r>
          </w:p>
        </w:tc>
      </w:tr>
      <w:tr>
        <w:tc>
          <w:tcPr>
            <w:tcW w:type="dxa" w:w="4680"/>
          </w:tcPr>
          <w:p>
            <w:r>
              <w:t>MVP1</w:t>
            </w:r>
          </w:p>
        </w:tc>
        <w:tc>
          <w:tcPr>
            <w:tcW w:type="dxa" w:w="4680"/>
          </w:tcPr>
          <w:p>
            <w:r>
              <w:t>Analyst decision and evidence pack PDF; High risk requires Compliance Manager approval.</w:t>
            </w:r>
          </w:p>
        </w:tc>
      </w:tr>
      <w:tr>
        <w:tc>
          <w:tcPr>
            <w:tcW w:type="dxa" w:w="4680"/>
          </w:tcPr>
          <w:p>
            <w:r>
              <w:t>MVP2</w:t>
            </w:r>
          </w:p>
        </w:tc>
        <w:tc>
          <w:tcPr>
            <w:tcW w:type="dxa" w:w="4680"/>
          </w:tcPr>
          <w:p>
            <w:r>
              <w:t>Continuous monitoring.</w:t>
            </w:r>
          </w:p>
        </w:tc>
      </w:tr>
      <w:tr>
        <w:tc>
          <w:tcPr>
            <w:tcW w:type="dxa" w:w="4680"/>
          </w:tcPr>
          <w:p>
            <w:r>
              <w:t>MVP2</w:t>
            </w:r>
          </w:p>
        </w:tc>
        <w:tc>
          <w:tcPr>
            <w:tcW w:type="dxa" w:w="4680"/>
          </w:tcPr>
          <w:p>
            <w:r>
              <w:t>SAP Ariba integration.</w:t>
            </w:r>
          </w:p>
        </w:tc>
      </w:tr>
      <w:tr>
        <w:tc>
          <w:tcPr>
            <w:tcW w:type="dxa" w:w="4680"/>
          </w:tcPr>
          <w:p>
            <w:r>
              <w:t>MVP2</w:t>
            </w:r>
          </w:p>
        </w:tc>
        <w:tc>
          <w:tcPr>
            <w:tcW w:type="dxa" w:w="4680"/>
          </w:tcPr>
          <w:p>
            <w:r>
              <w:t>Supplier self-service.</w:t>
            </w:r>
          </w:p>
        </w:tc>
      </w:tr>
      <w:tr>
        <w:tc>
          <w:tcPr>
            <w:tcW w:type="dxa" w:w="4680"/>
          </w:tcPr>
          <w:p>
            <w:r>
              <w:t>MVP2</w:t>
            </w:r>
          </w:p>
        </w:tc>
        <w:tc>
          <w:tcPr>
            <w:tcW w:type="dxa" w:w="4680"/>
          </w:tcPr>
          <w:p>
            <w:r>
              <w:t>Expiry reminders.</w:t>
            </w:r>
          </w:p>
        </w:tc>
      </w:tr>
    </w:tbl>
    <w:p/>
    <w:p>
      <w:pPr>
        <w:pStyle w:val="Heading1"/>
      </w:pPr>
      <w:r>
        <w:t>8) NFRs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Availability</w:t>
            </w:r>
          </w:p>
        </w:tc>
        <w:tc>
          <w:tcPr>
            <w:tcW w:type="dxa" w:w="4680"/>
          </w:tcPr>
          <w:p>
            <w:r>
              <w:t>99.5%.</w:t>
            </w:r>
          </w:p>
        </w:tc>
      </w:tr>
      <w:tr>
        <w:tc>
          <w:tcPr>
            <w:tcW w:type="dxa" w:w="4680"/>
          </w:tcPr>
          <w:p>
            <w:r>
              <w:t>Security</w:t>
            </w:r>
          </w:p>
        </w:tc>
        <w:tc>
          <w:tcPr>
            <w:tcW w:type="dxa" w:w="4680"/>
          </w:tcPr>
          <w:p>
            <w:r>
              <w:t>Azure AD; bank and tax data masked; evidence packs access-controlled.</w:t>
            </w:r>
          </w:p>
        </w:tc>
      </w:tr>
      <w:tr>
        <w:tc>
          <w:tcPr>
            <w:tcW w:type="dxa" w:w="4680"/>
          </w:tcPr>
          <w:p>
            <w:r>
              <w:t>Performance</w:t>
            </w:r>
          </w:p>
        </w:tc>
        <w:tc>
          <w:tcPr>
            <w:tcW w:type="dxa" w:w="4680"/>
          </w:tcPr>
          <w:p>
            <w:r>
              <w:t>Package with 10 documents processed within 2 minutes. Screening API response within 10 seconds.</w:t>
            </w:r>
          </w:p>
        </w:tc>
      </w:tr>
      <w:tr>
        <w:tc>
          <w:tcPr>
            <w:tcW w:type="dxa" w:w="4680"/>
          </w:tcPr>
          <w:p>
            <w:r>
              <w:t>Compliance</w:t>
            </w:r>
          </w:p>
        </w:tc>
        <w:tc>
          <w:tcPr>
            <w:tcW w:type="dxa" w:w="4680"/>
          </w:tcPr>
          <w:p>
            <w:r>
              <w:t>Screening evidence retained for 7 years. SOX and audit requirements.</w:t>
            </w:r>
          </w:p>
        </w:tc>
      </w:tr>
    </w:tbl>
    <w:p/>
    <w:p>
      <w:pPr>
        <w:pStyle w:val="Heading1"/>
      </w:pPr>
      <w:r>
        <w:t>9) Architecture</w:t>
      </w:r>
    </w:p>
    <w:p>
      <w:pPr>
        <w:spacing w:after="100"/>
      </w:pPr>
      <w:r>
        <w:t>Refer to P09_Vendor_Compliance_Architecture.png.</w:t>
      </w:r>
    </w:p>
    <w:p>
      <w:pPr>
        <w:pStyle w:val="Heading1"/>
      </w:pPr>
      <w:r>
        <w:t>10) Data Requirements</w:t>
      </w:r>
    </w:p>
    <w:p>
      <w:pPr>
        <w:spacing w:after="100"/>
      </w:pPr>
      <w:r>
        <w:t>Data includes onboarding documents, extracted fields, screening results and decisions.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Frequency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Security</w:t>
            </w:r>
          </w:p>
        </w:tc>
      </w:tr>
      <w:tr>
        <w:tc>
          <w:tcPr>
            <w:tcW w:type="dxa" w:w="1560"/>
          </w:tcPr>
          <w:p>
            <w:r>
              <w:t>Onboarding documents</w:t>
            </w:r>
          </w:p>
        </w:tc>
        <w:tc>
          <w:tcPr>
            <w:tcW w:type="dxa" w:w="1560"/>
          </w:tcPr>
          <w:p>
            <w:r>
              <w:t>Tax, insurance, bank letters</w:t>
            </w:r>
          </w:p>
        </w:tc>
        <w:tc>
          <w:tcPr>
            <w:tcW w:type="dxa" w:w="1560"/>
          </w:tcPr>
          <w:p>
            <w:r>
              <w:t>Upload</w:t>
            </w:r>
          </w:p>
        </w:tc>
        <w:tc>
          <w:tcPr>
            <w:tcW w:type="dxa" w:w="1560"/>
          </w:tcPr>
          <w:p>
            <w:r>
              <w:t>Per supplier</w:t>
            </w:r>
          </w:p>
        </w:tc>
        <w:tc>
          <w:tcPr>
            <w:tcW w:type="dxa" w:w="1560"/>
          </w:tcPr>
          <w:p>
            <w:r>
              <w:t>Supplier Risk</w:t>
            </w:r>
          </w:p>
        </w:tc>
        <w:tc>
          <w:tcPr>
            <w:tcW w:type="dxa" w:w="1560"/>
          </w:tcPr>
          <w:p>
            <w:r>
              <w:t>Restricted</w:t>
            </w:r>
          </w:p>
        </w:tc>
      </w:tr>
      <w:tr>
        <w:tc>
          <w:tcPr>
            <w:tcW w:type="dxa" w:w="1560"/>
          </w:tcPr>
          <w:p>
            <w:r>
              <w:t>Onboarding form</w:t>
            </w:r>
          </w:p>
        </w:tc>
        <w:tc>
          <w:tcPr>
            <w:tcW w:type="dxa" w:w="1560"/>
          </w:tcPr>
          <w:p>
            <w:r>
              <w:t>Supplier details</w:t>
            </w:r>
          </w:p>
        </w:tc>
        <w:tc>
          <w:tcPr>
            <w:tcW w:type="dxa" w:w="1560"/>
          </w:tcPr>
          <w:p>
            <w:r>
              <w:t>Procurement</w:t>
            </w:r>
          </w:p>
        </w:tc>
        <w:tc>
          <w:tcPr>
            <w:tcW w:type="dxa" w:w="1560"/>
          </w:tcPr>
          <w:p>
            <w:r>
              <w:t>Per supplier</w:t>
            </w:r>
          </w:p>
        </w:tc>
        <w:tc>
          <w:tcPr>
            <w:tcW w:type="dxa" w:w="1560"/>
          </w:tcPr>
          <w:p>
            <w:r>
              <w:t>Procurement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</w:tr>
      <w:tr>
        <w:tc>
          <w:tcPr>
            <w:tcW w:type="dxa" w:w="1560"/>
          </w:tcPr>
          <w:p>
            <w:r>
              <w:t>Screening results</w:t>
            </w:r>
          </w:p>
        </w:tc>
        <w:tc>
          <w:tcPr>
            <w:tcW w:type="dxa" w:w="1560"/>
          </w:tcPr>
          <w:p>
            <w:r>
              <w:t>Matches and scores</w:t>
            </w:r>
          </w:p>
        </w:tc>
        <w:tc>
          <w:tcPr>
            <w:tcW w:type="dxa" w:w="1560"/>
          </w:tcPr>
          <w:p>
            <w:r>
              <w:t>Screening API</w:t>
            </w:r>
          </w:p>
        </w:tc>
        <w:tc>
          <w:tcPr>
            <w:tcW w:type="dxa" w:w="1560"/>
          </w:tcPr>
          <w:p>
            <w:r>
              <w:t>Per supplier</w:t>
            </w:r>
          </w:p>
        </w:tc>
        <w:tc>
          <w:tcPr>
            <w:tcW w:type="dxa" w:w="1560"/>
          </w:tcPr>
          <w:p>
            <w:r>
              <w:t>Supplier Risk</w:t>
            </w:r>
          </w:p>
        </w:tc>
        <w:tc>
          <w:tcPr>
            <w:tcW w:type="dxa" w:w="1560"/>
          </w:tcPr>
          <w:p>
            <w:r>
              <w:t>Restricted</w:t>
            </w:r>
          </w:p>
        </w:tc>
      </w:tr>
      <w:tr>
        <w:tc>
          <w:tcPr>
            <w:tcW w:type="dxa" w:w="1560"/>
          </w:tcPr>
          <w:p>
            <w:r>
              <w:t>Evidence packs</w:t>
            </w:r>
          </w:p>
        </w:tc>
        <w:tc>
          <w:tcPr>
            <w:tcW w:type="dxa" w:w="1560"/>
          </w:tcPr>
          <w:p>
            <w:r>
              <w:t>PDF audit evidence</w:t>
            </w:r>
          </w:p>
        </w:tc>
        <w:tc>
          <w:tcPr>
            <w:tcW w:type="dxa" w:w="1560"/>
          </w:tcPr>
          <w:p>
            <w:r>
              <w:t>Tool output</w:t>
            </w:r>
          </w:p>
        </w:tc>
        <w:tc>
          <w:tcPr>
            <w:tcW w:type="dxa" w:w="1560"/>
          </w:tcPr>
          <w:p>
            <w:r>
              <w:t>Per supplier</w:t>
            </w:r>
          </w:p>
        </w:tc>
        <w:tc>
          <w:tcPr>
            <w:tcW w:type="dxa" w:w="1560"/>
          </w:tcPr>
          <w:p>
            <w:r>
              <w:t>Compliance</w:t>
            </w:r>
          </w:p>
        </w:tc>
        <w:tc>
          <w:tcPr>
            <w:tcW w:type="dxa" w:w="1560"/>
          </w:tcPr>
          <w:p>
            <w:r>
              <w:t>Restricted</w:t>
            </w:r>
          </w:p>
        </w:tc>
      </w:tr>
    </w:tbl>
    <w:p/>
    <w:p>
      <w:pPr>
        <w:spacing w:after="60"/>
        <w:ind w:left="432"/>
      </w:pPr>
      <w:r>
        <w:t xml:space="preserve">– </w:t>
      </w:r>
      <w:r>
        <w:rPr>
          <w:b/>
        </w:rPr>
        <w:t xml:space="preserve">Quality checks – </w:t>
      </w:r>
      <w:r>
        <w:t>Mandatory documents per supplier type, extracted field completeness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RBAC: </w:t>
      </w:r>
      <w:r>
        <w:t>High-risk approvals and match clearance by Compliance Manager only</w:t>
      </w:r>
    </w:p>
    <w:p>
      <w:pPr>
        <w:pStyle w:val="Heading1"/>
      </w:pPr>
      <w:r>
        <w:t>11) System Integrations</w:t>
      </w:r>
    </w:p>
    <w:p>
      <w:pPr>
        <w:pStyle w:val="Heading2"/>
      </w:pPr>
      <w:r>
        <w:t>a) Identity &amp; Access</w:t>
      </w:r>
    </w:p>
    <w:p>
      <w:pPr>
        <w:spacing w:after="60"/>
        <w:ind w:left="432"/>
      </w:pPr>
      <w:r>
        <w:t xml:space="preserve">– </w:t>
      </w:r>
      <w:r>
        <w:t>Azure AD.</w:t>
      </w:r>
    </w:p>
    <w:p>
      <w:pPr>
        <w:spacing w:after="100"/>
      </w:pPr>
      <w:r>
        <w:rPr>
          <w:b/>
        </w:rPr>
        <w:t>External</w:t>
      </w:r>
      <w:r/>
    </w:p>
    <w:p>
      <w:pPr>
        <w:spacing w:after="60"/>
        <w:ind w:left="432"/>
      </w:pPr>
      <w:r>
        <w:t xml:space="preserve">– </w:t>
      </w:r>
      <w:r>
        <w:t>Sanctions screening API (key-based auth via APIM).</w:t>
      </w:r>
    </w:p>
    <w:p>
      <w:pPr>
        <w:pStyle w:val="Heading2"/>
      </w:pPr>
      <w:r>
        <w:t>b) AI Services</w:t>
      </w:r>
    </w:p>
    <w:p>
      <w:pPr>
        <w:spacing w:after="60"/>
        <w:ind w:left="432"/>
      </w:pPr>
      <w:r>
        <w:t xml:space="preserve">– </w:t>
      </w:r>
      <w:r>
        <w:t>Azure Document Intelligence (classification and extraction).</w:t>
      </w:r>
    </w:p>
    <w:p>
      <w:pPr>
        <w:spacing w:after="100"/>
      </w:pPr>
      <w:r>
        <w:rPr>
          <w:b/>
        </w:rPr>
        <w:t>Data &amp; Storage</w:t>
      </w:r>
      <w:r/>
    </w:p>
    <w:p>
      <w:pPr>
        <w:spacing w:after="60"/>
        <w:ind w:left="432"/>
      </w:pPr>
      <w:r>
        <w:t xml:space="preserve">– </w:t>
      </w:r>
      <w:r>
        <w:t>Azure PostgreSQL, Azure Blob Storage (evidence, 7-year retention policy).</w:t>
      </w:r>
    </w:p>
    <w:p>
      <w:pPr>
        <w:pStyle w:val="Heading1"/>
      </w:pPr>
      <w:r>
        <w:t>12) Analytics, Logging &amp; Observability</w:t>
      </w:r>
    </w:p>
    <w:p>
      <w:pPr>
        <w:spacing w:after="60"/>
        <w:ind w:left="432"/>
      </w:pPr>
      <w:r>
        <w:t xml:space="preserve">– </w:t>
      </w:r>
      <w:r>
        <w:t>Suppliers screened, risk distribution, review time</w:t>
      </w:r>
    </w:p>
    <w:p>
      <w:pPr>
        <w:pStyle w:val="Heading1"/>
      </w:pPr>
      <w:r>
        <w:t>13) Security, Privacy &amp; Compliance</w:t>
      </w:r>
    </w:p>
    <w:p>
      <w:pPr>
        <w:spacing w:after="60"/>
        <w:ind w:left="432"/>
      </w:pPr>
      <w:r>
        <w:t xml:space="preserve">– </w:t>
      </w:r>
      <w:r>
        <w:t>AI Governance Council approval; data privacy review for owner personal data</w:t>
      </w:r>
    </w:p>
    <w:p>
      <w:pPr>
        <w:spacing w:after="100"/>
      </w:pPr>
      <w:r>
        <w:t>Open question: confirm with business owner.</w:t>
      </w:r>
    </w:p>
    <w:p>
      <w:pPr>
        <w:pStyle w:val="Heading1"/>
      </w:pPr>
      <w:r>
        <w:t>14) Assumptions</w:t>
      </w:r>
    </w:p>
    <w:p>
      <w:pPr>
        <w:spacing w:after="60"/>
        <w:ind w:left="432"/>
      </w:pPr>
      <w:r>
        <w:t xml:space="preserve">– </w:t>
      </w:r>
      <w:r>
        <w:t>Screening provider sandbox available</w:t>
      </w:r>
    </w:p>
    <w:p>
      <w:pPr>
        <w:spacing w:after="60"/>
        <w:ind w:left="432"/>
      </w:pPr>
      <w:r>
        <w:t xml:space="preserve">– </w:t>
      </w:r>
      <w:r>
        <w:t>Most documents are digital PDFs</w:t>
      </w:r>
    </w:p>
    <w:p>
      <w:pPr>
        <w:spacing w:after="100"/>
      </w:pPr>
      <w:r>
        <w:rPr>
          <w:b/>
        </w:rPr>
        <w:t>Dependencies:</w:t>
      </w:r>
      <w:r/>
    </w:p>
    <w:p>
      <w:pPr>
        <w:spacing w:after="60"/>
        <w:ind w:left="432"/>
      </w:pPr>
      <w:r>
        <w:t xml:space="preserve">– </w:t>
      </w:r>
      <w:r>
        <w:t>Screening vendor contract and sandbox</w:t>
      </w:r>
    </w:p>
    <w:p>
      <w:pPr>
        <w:spacing w:after="60"/>
        <w:ind w:left="432"/>
      </w:pPr>
      <w:r>
        <w:t xml:space="preserve">– </w:t>
      </w:r>
      <w:r>
        <w:t>Compliance team for golden data</w:t>
      </w:r>
    </w:p>
    <w:p>
      <w:pPr>
        <w:spacing w:after="60"/>
        <w:ind w:left="432"/>
      </w:pPr>
      <w:r>
        <w:t xml:space="preserve">– </w:t>
      </w:r>
      <w:r>
        <w:t>Records retention approval</w:t>
      </w:r>
    </w:p>
    <w:p>
      <w:pPr>
        <w:spacing w:after="100"/>
      </w:pPr>
      <w:r>
        <w:t>(TBD – pending SME review)</w:t>
      </w:r>
    </w:p>
    <w:p>
      <w:pPr>
        <w:pStyle w:val="Heading1"/>
      </w:pPr>
      <w:r>
        <w:t>15) High-Level Plan</w:t>
      </w:r>
    </w:p>
    <w:p>
      <w:pPr>
        <w:spacing w:after="60"/>
        <w:ind w:left="432"/>
      </w:pPr>
      <w:r>
        <w:t xml:space="preserve">– </w:t>
      </w:r>
      <w:r>
        <w:t>MVP1: May–Jul 2026</w:t>
      </w:r>
    </w:p>
    <w:p>
      <w:pPr>
        <w:spacing w:after="60"/>
        <w:ind w:left="432"/>
      </w:pPr>
      <w:r>
        <w:t xml:space="preserve">– </w:t>
      </w:r>
      <w:r>
        <w:t>MVP2: Q1 2027</w:t>
      </w:r>
    </w:p>
    <w:p>
      <w:pPr>
        <w:spacing w:after="100"/>
      </w:pPr>
      <w:r>
        <w:t>(TBD – pending SME review)</w:t>
      </w:r>
    </w:p>
    <w:p>
      <w:pPr>
        <w:pStyle w:val="Heading1"/>
      </w:pPr>
      <w:r>
        <w:t>16) Acceptance &amp; Success Metrics</w:t>
      </w:r>
    </w:p>
    <w:p>
      <w:pPr>
        <w:spacing w:after="60"/>
        <w:ind w:left="432"/>
      </w:pPr>
      <w:r>
        <w:t xml:space="preserve">– </w:t>
      </w:r>
      <w:r>
        <w:t>≥95% document classification accuracy</w:t>
      </w:r>
    </w:p>
    <w:p>
      <w:pPr>
        <w:spacing w:after="60"/>
        <w:ind w:left="432"/>
      </w:pPr>
      <w:r>
        <w:t xml:space="preserve">– </w:t>
      </w:r>
      <w:r>
        <w:t>≥93% field extraction accuracy</w:t>
      </w:r>
    </w:p>
    <w:p>
      <w:pPr>
        <w:spacing w:after="60"/>
        <w:ind w:left="432"/>
      </w:pPr>
      <w:r>
        <w:t xml:space="preserve">– </w:t>
      </w:r>
      <w:r>
        <w:t>100% of suppliers screened before decision</w:t>
      </w:r>
    </w:p>
    <w:p>
      <w:pPr>
        <w:spacing w:after="60"/>
        <w:ind w:left="432"/>
      </w:pPr>
      <w:r>
        <w:t xml:space="preserve">– </w:t>
      </w:r>
      <w:r>
        <w:t>Risk rating rules 100% correct on test set</w:t>
      </w:r>
    </w:p>
    <w:p>
      <w:pPr>
        <w:spacing w:after="100"/>
      </w:pPr>
      <w:r>
        <w:t>(TBD – pending SME review)</w:t>
      </w:r>
    </w:p>
    <w:p>
      <w:pPr>
        <w:pStyle w:val="Heading1"/>
      </w:pPr>
      <w:r>
        <w:t>17) Risk Register</w:t>
      </w:r>
    </w:p>
    <w:p>
      <w:pPr>
        <w:spacing w:after="60"/>
        <w:ind w:left="432"/>
      </w:pPr>
      <w:r>
        <w:t xml:space="preserve">– </w:t>
      </w:r>
      <w:r>
        <w:rPr>
          <w:b/>
        </w:rPr>
        <w:t xml:space="preserve">Poor document quality: </w:t>
      </w:r>
      <w:r>
        <w:t>Manual review route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False positive matches: </w:t>
      </w:r>
      <w:r>
        <w:t>Compliance clearance workflow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Screening API outage: </w:t>
      </w:r>
      <w:r>
        <w:t>Retry and block approval until screened</w:t>
      </w:r>
    </w:p>
    <w:p>
      <w:pPr>
        <w:pStyle w:val="Heading1"/>
      </w:pPr>
      <w:r>
        <w:t>18) Business Value</w:t>
      </w:r>
    </w:p>
    <w:p>
      <w:pPr>
        <w:spacing w:after="60"/>
        <w:ind w:left="432"/>
      </w:pPr>
      <w:r>
        <w:t xml:space="preserve">– </w:t>
      </w:r>
      <w:r>
        <w:t>Analyst time saved</w:t>
      </w:r>
    </w:p>
    <w:p>
      <w:pPr>
        <w:spacing w:after="60"/>
        <w:ind w:left="432"/>
      </w:pPr>
      <w:r>
        <w:t xml:space="preserve">– </w:t>
      </w:r>
      <w:r>
        <w:t>Faster onboarding</w:t>
      </w:r>
    </w:p>
    <w:p>
      <w:pPr>
        <w:spacing w:after="100"/>
      </w:pPr>
      <w:r>
        <w:t>Open question: confirm with business owner.</w:t>
      </w:r>
    </w:p>
    <w:p>
      <w:pPr>
        <w:pStyle w:val="Heading1"/>
      </w:pPr>
      <w:r>
        <w:t>Appendix</w:t>
      </w:r>
    </w:p>
    <w:p>
      <w:pPr>
        <w:spacing w:after="100"/>
      </w:pPr>
      <w:r>
        <w:rPr>
          <w:b/>
        </w:rPr>
        <w:t>Vendor Compliance Screening MVP1 Scope Overview</w:t>
      </w:r>
      <w:r/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Document Checks – </w:t>
      </w:r>
      <w:r>
        <w:t>Classification, extraction and cross-checks.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Sanctions Screening: </w:t>
      </w:r>
      <w:r>
        <w:t>Supplier and owners screened.</w:t>
      </w:r>
    </w:p>
    <w:p>
      <w:pPr>
        <w:spacing w:after="60"/>
        <w:ind w:left="432"/>
      </w:pPr>
      <w:r>
        <w:t xml:space="preserve">– </w:t>
      </w:r>
      <w:r>
        <w:rPr>
          <w:b w:val="0"/>
        </w:rPr>
        <w:t xml:space="preserve">Risk Summary – </w:t>
      </w:r>
      <w:r>
        <w:t>Rating, decision and evidence pack.</w:t>
      </w:r>
    </w:p>
    <w:p>
      <w:pPr>
        <w:spacing w:after="100"/>
      </w:pPr>
      <w:r>
        <w:rPr>
          <w:b/>
        </w:rPr>
        <w:t>How it works:</w:t>
      </w:r>
      <w:r/>
    </w:p>
    <w:p>
      <w:pPr>
        <w:spacing w:after="60"/>
        <w:ind w:left="432"/>
      </w:pPr>
      <w:r>
        <w:t>Step 1: Analyst uploads package.</w:t>
      </w:r>
    </w:p>
    <w:p>
      <w:pPr>
        <w:spacing w:after="60"/>
        <w:ind w:left="432"/>
      </w:pPr>
      <w:r>
        <w:t>Step 2: Documents classified and extracted.</w:t>
      </w:r>
    </w:p>
    <w:p>
      <w:pPr>
        <w:spacing w:after="60"/>
        <w:ind w:left="432"/>
      </w:pPr>
      <w:r>
        <w:t>Step 3: Cross-checks run.</w:t>
      </w:r>
    </w:p>
    <w:p>
      <w:pPr>
        <w:spacing w:after="60"/>
        <w:ind w:left="432"/>
      </w:pPr>
      <w:r>
        <w:t>Step 4: Screening performed.</w:t>
      </w:r>
    </w:p>
    <w:p>
      <w:pPr>
        <w:spacing w:after="60"/>
        <w:ind w:left="432"/>
      </w:pPr>
      <w:r>
        <w:t>Step 5: Risk summary and decision.</w:t>
      </w:r>
    </w:p>
    <w:p>
      <w:pPr>
        <w:spacing w:after="100"/>
      </w:pPr>
      <w:r>
        <w:rPr>
          <w:b/>
        </w:rPr>
        <w:t>Data sources for MVP:</w:t>
      </w:r>
      <w:r/>
    </w:p>
    <w:p>
      <w:pPr>
        <w:spacing w:after="60"/>
        <w:ind w:left="432"/>
      </w:pPr>
      <w:r>
        <w:t xml:space="preserve">– </w:t>
      </w:r>
      <w:r>
        <w:t>Onboarding documents</w:t>
      </w:r>
    </w:p>
    <w:p>
      <w:pPr>
        <w:spacing w:after="60"/>
        <w:ind w:left="432"/>
      </w:pPr>
      <w:r>
        <w:t xml:space="preserve">– </w:t>
      </w:r>
      <w:r>
        <w:t>Onboarding form</w:t>
      </w:r>
    </w:p>
    <w:p>
      <w:pPr>
        <w:spacing w:after="60"/>
        <w:ind w:left="432"/>
      </w:pPr>
      <w:r>
        <w:t xml:space="preserve">– </w:t>
      </w:r>
      <w:r>
        <w:t>Screening API</w:t>
      </w:r>
    </w:p>
    <w:p>
      <w:pPr>
        <w:spacing w:after="100"/>
      </w:pPr>
      <w:r>
        <w:rPr>
          <w:b/>
        </w:rPr>
        <w:t>Security:</w:t>
      </w:r>
      <w:r/>
    </w:p>
    <w:p>
      <w:pPr>
        <w:spacing w:after="60"/>
        <w:ind w:left="432"/>
      </w:pPr>
      <w:r>
        <w:t xml:space="preserve">– </w:t>
      </w:r>
      <w:r>
        <w:t>Azure AD</w:t>
      </w:r>
    </w:p>
    <w:p>
      <w:pPr>
        <w:spacing w:after="60"/>
        <w:ind w:left="432"/>
      </w:pPr>
      <w:r>
        <w:t xml:space="preserve">– </w:t>
      </w:r>
      <w:r>
        <w:t>Masked sensitive data</w:t>
      </w:r>
    </w:p>
    <w:p>
      <w:pPr>
        <w:spacing w:after="100"/>
      </w:pPr>
      <w:r>
        <w:rPr>
          <w:b/>
        </w:rPr>
        <w:t>Exclusions</w:t>
      </w:r>
      <w:r/>
    </w:p>
    <w:p>
      <w:pPr>
        <w:spacing w:after="60"/>
        <w:ind w:left="432"/>
      </w:pPr>
      <w:r>
        <w:t xml:space="preserve">– </w:t>
      </w:r>
      <w:r>
        <w:t>No continuous monitoring</w:t>
      </w:r>
    </w:p>
    <w:p>
      <w:pPr>
        <w:spacing w:after="60"/>
        <w:ind w:left="432"/>
      </w:pPr>
      <w:r>
        <w:t xml:space="preserve">– </w:t>
      </w:r>
      <w:r>
        <w:t>No Ariba integration</w:t>
      </w:r>
    </w:p>
    <w:p>
      <w:pPr>
        <w:spacing w:after="60"/>
        <w:ind w:left="432"/>
      </w:pPr>
      <w:r>
        <w:t xml:space="preserve">– </w:t>
      </w:r>
      <w:r>
        <w:t>No supplier self-service</w:t>
      </w:r>
    </w:p>
    <w:p>
      <w:pPr>
        <w:spacing w:after="60"/>
        <w:ind w:left="432"/>
      </w:pPr>
      <w:r>
        <w:t xml:space="preserve">– </w:t>
      </w:r>
      <w:r>
        <w:t>No expiry reminders</w:t>
      </w:r>
    </w:p>
    <w:p>
      <w:pPr>
        <w:spacing w:after="100"/>
      </w:pPr>
      <w:r>
        <w:t>(TBD – pending SME review)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