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QA Test Plan – Freight Claims Automation</w:t>
      </w:r>
    </w:p>
    <w:p>
      <w:pPr>
        <w:spacing w:after="100"/>
      </w:pPr>
      <w:r>
        <w:t>1.1 · Freight Claims Automation · QA Lead, Quality Engineering</w:t>
      </w:r>
    </w:p>
    <w:p>
      <w:pPr>
        <w:spacing w:after="100"/>
      </w:pPr>
      <w:r>
        <w:rPr>
          <w:b/>
        </w:rPr>
        <w:t xml:space="preserve">Purpose: </w:t>
      </w:r>
      <w:r>
        <w:t>This plan defines the quality approach for validating Freight Claims Automation MVP1: shipment lookup, evidence upload, AI damage description, claim value and deadline calculation, approval, packet generation and carrier email. Carrier APIs, status tracking, recovery reporting and finance posting are MVP2.</w:t>
      </w:r>
    </w:p>
    <w:p>
      <w:pPr>
        <w:spacing w:after="100"/>
      </w:pPr>
      <w:r>
        <w:rPr>
          <w:b/>
        </w:rPr>
        <w:t>References</w:t>
      </w:r>
      <w:r/>
    </w:p>
    <w:p>
      <w:pPr>
        <w:pStyle w:val="ListBullet"/>
        <w:spacing w:after="60"/>
      </w:pPr>
      <w:r>
        <w:t>Freight Claims Automation BRD</w:t>
      </w:r>
    </w:p>
    <w:p>
      <w:pPr>
        <w:pStyle w:val="ListBullet"/>
        <w:spacing w:after="60"/>
      </w:pPr>
      <w:r>
        <w:t>Freight Claims Automation architecture diagram</w:t>
      </w:r>
    </w:p>
    <w:p>
      <w:pPr>
        <w:spacing w:before="120" w:after="80"/>
      </w:pPr>
      <w:r>
        <w:rPr>
          <w:b/>
          <w:color w:val="2E74B5"/>
          <w:sz w:val="24"/>
        </w:rPr>
        <w:t>Contents</w:t>
      </w:r>
    </w:p>
    <w:p>
      <w:pPr>
        <w:spacing w:after="100"/>
      </w:pPr>
      <w:r>
        <w:t>1. Objectives</w:t>
      </w:r>
    </w:p>
    <w:p>
      <w:pPr>
        <w:spacing w:after="100"/>
      </w:pPr>
      <w:r>
        <w:t>2. Scope</w:t>
      </w:r>
    </w:p>
    <w:p>
      <w:pPr>
        <w:spacing w:after="100"/>
      </w:pPr>
      <w:r>
        <w:t>Quality Risks, Assumptions and Dependencies</w:t>
      </w:r>
    </w:p>
    <w:p>
      <w:pPr>
        <w:spacing w:after="100"/>
      </w:pPr>
      <w:r>
        <w:t>4. Test Approach</w:t>
      </w:r>
    </w:p>
    <w:p>
      <w:pPr>
        <w:spacing w:after="100"/>
      </w:pPr>
      <w:r>
        <w:t>Functional Testing</w:t>
      </w:r>
    </w:p>
    <w:p>
      <w:pPr>
        <w:spacing w:after="100"/>
      </w:pPr>
      <w:r>
        <w:t>Access Control Testing</w:t>
      </w:r>
    </w:p>
    <w:p>
      <w:pPr>
        <w:spacing w:after="100"/>
      </w:pPr>
      <w:r>
        <w:t>AI and Data Quality Validation</w:t>
      </w:r>
    </w:p>
    <w:p>
      <w:pPr>
        <w:spacing w:after="100"/>
      </w:pPr>
      <w:r>
        <w:t>NFR Testing</w:t>
      </w:r>
    </w:p>
    <w:p>
      <w:pPr>
        <w:spacing w:after="100"/>
      </w:pPr>
      <w:r>
        <w:t>9. Audit and Observability</w:t>
      </w:r>
    </w:p>
    <w:p>
      <w:pPr>
        <w:spacing w:after="100"/>
      </w:pPr>
      <w:r>
        <w:t>10. Test Data and Environment Strategy</w:t>
      </w:r>
    </w:p>
    <w:p>
      <w:pPr>
        <w:spacing w:after="100"/>
      </w:pPr>
      <w:r>
        <w:t>Suspension, Entry and Exit Criteria</w:t>
      </w:r>
    </w:p>
    <w:p>
      <w:pPr>
        <w:spacing w:after="100"/>
      </w:pPr>
      <w:r>
        <w:t>Defect Tracking</w:t>
      </w:r>
    </w:p>
    <w:p>
      <w:pPr>
        <w:spacing w:after="100"/>
      </w:pPr>
      <w:r>
        <w:t>Risk Register</w:t>
      </w:r>
    </w:p>
    <w:p>
      <w:pPr>
        <w:spacing w:after="100"/>
      </w:pPr>
      <w:r>
        <w:t>14. Deliverables and Reporting</w:t>
      </w:r>
    </w:p>
    <w:p>
      <w:pPr>
        <w:spacing w:after="100"/>
      </w:pPr>
      <w:r>
        <w:t>15. Recommended MVP1 Traceability and Metrics</w:t>
      </w:r>
    </w:p>
    <w:p>
      <w:pPr>
        <w:spacing w:after="100"/>
      </w:pPr>
      <w:r>
        <w:t>16. Schedule</w:t>
      </w:r>
    </w:p>
    <w:p>
      <w:pPr>
        <w:spacing w:after="100"/>
      </w:pPr>
      <w:r>
        <w:t>Representative End-to-End Scenario</w:t>
      </w:r>
    </w:p>
    <w:p>
      <w:pPr>
        <w:spacing w:after="100"/>
      </w:pPr>
      <w:r>
        <w:t>Sign-off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1. Objectives</w:t>
      </w:r>
    </w:p>
    <w:p>
      <w:pPr>
        <w:spacing w:after="60"/>
        <w:ind w:left="432"/>
      </w:pPr>
      <w:r>
        <w:t xml:space="preserve">– </w:t>
      </w:r>
      <w:r>
        <w:t>Verify shipment lookup by PRO/BOL and pre-fill from TMS and ERP.</w:t>
      </w:r>
    </w:p>
    <w:p>
      <w:pPr>
        <w:spacing w:after="60"/>
        <w:ind w:left="432"/>
      </w:pPr>
      <w:r>
        <w:t xml:space="preserve">– </w:t>
      </w:r>
      <w:r>
        <w:t>Validate evidence rules per claim type and upload limits.</w:t>
      </w:r>
    </w:p>
    <w:p>
      <w:pPr>
        <w:spacing w:after="60"/>
        <w:ind w:left="432"/>
      </w:pPr>
      <w:r>
        <w:t xml:space="preserve">– </w:t>
      </w:r>
      <w:r>
        <w:t>Verify claim value calculation and deadline/late-claim warnings are 100% correct.</w:t>
      </w:r>
    </w:p>
    <w:p>
      <w:pPr>
        <w:spacing w:after="60"/>
        <w:ind w:left="432"/>
      </w:pPr>
      <w:r>
        <w:t xml:space="preserve">– </w:t>
      </w:r>
      <w:r>
        <w:t>Validate AI damage description quality and editability.</w:t>
      </w:r>
    </w:p>
    <w:p>
      <w:pPr>
        <w:spacing w:after="60"/>
        <w:ind w:left="432"/>
      </w:pPr>
      <w:r>
        <w:t xml:space="preserve">– </w:t>
      </w:r>
      <w:r>
        <w:t>Validate approval above USD 5,000, packet generation, carrier email and branch-scoped access.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2. Scope</w:t>
      </w:r>
    </w:p>
    <w:p>
      <w:pPr>
        <w:spacing w:after="100"/>
      </w:pPr>
      <w:r>
        <w:rPr>
          <w:b/>
        </w:rPr>
        <w:t xml:space="preserve">In scope (functional): </w:t>
      </w:r>
      <w:r>
        <w:t>shipment lookup; claim form; evidence upload; AI damage description; claim value calculation; deadline rules; approval; packet PDF; carrier email; claims register; carrier administration; Azure AD; RBAC.</w:t>
      </w:r>
    </w:p>
    <w:p>
      <w:pPr>
        <w:spacing w:after="100"/>
      </w:pPr>
      <w:r>
        <w:rPr>
          <w:b/>
        </w:rPr>
        <w:t xml:space="preserve">In scope (non-functional): </w:t>
      </w:r>
      <w:r>
        <w:t>performance (lookup 3 s, description 20 s, packet 10 s), tablet usability, security, accessibility, observability and reliability.</w:t>
      </w:r>
    </w:p>
    <w:p>
      <w:pPr>
        <w:spacing w:after="100"/>
      </w:pPr>
      <w:r>
        <w:rPr>
          <w:b/>
        </w:rPr>
        <w:t>Out of scope:</w:t>
      </w:r>
      <w:r/>
    </w:p>
    <w:p>
      <w:pPr>
        <w:spacing w:after="60"/>
        <w:ind w:left="432"/>
      </w:pPr>
      <w:r>
        <w:t xml:space="preserve">1. </w:t>
      </w:r>
      <w:r>
        <w:t>Customer portal, litigation and insurance claims.</w:t>
      </w:r>
    </w:p>
    <w:p>
      <w:pPr>
        <w:spacing w:after="60"/>
        <w:ind w:left="432"/>
      </w:pPr>
      <w:r>
        <w:t xml:space="preserve">2. </w:t>
      </w:r>
      <w:r>
        <w:t>Carrier API submission, status tracking, recovery reporting and finance posting (MVP2).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3. Quality Risks, Assumptions and Dependencies</w:t>
      </w:r>
    </w:p>
    <w:p>
      <w:pPr>
        <w:spacing w:after="60"/>
        <w:ind w:left="432"/>
      </w:pPr>
      <w:r>
        <w:t xml:space="preserve">1. </w:t>
      </w:r>
      <w:r>
        <w:t>Photos may be blurry, dark or unrelated.</w:t>
      </w:r>
    </w:p>
    <w:p>
      <w:pPr>
        <w:spacing w:after="60"/>
        <w:ind w:left="432"/>
      </w:pPr>
      <w:r>
        <w:t xml:space="preserve">2. </w:t>
      </w:r>
      <w:r>
        <w:t>TMS and ERP APIs available in non-production or mocked.</w:t>
      </w:r>
    </w:p>
    <w:p>
      <w:pPr>
        <w:spacing w:after="60"/>
        <w:ind w:left="432"/>
      </w:pPr>
      <w:r>
        <w:t xml:space="preserve">3. </w:t>
      </w:r>
      <w:r>
        <w:t>Carrier deadline rules provided by Transportation.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4. Test Approach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Test level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Unit testing</w:t>
            </w:r>
          </w:p>
        </w:tc>
        <w:tc>
          <w:tcPr>
            <w:tcW w:type="dxa" w:w="4680"/>
          </w:tcPr>
          <w:p>
            <w:r>
              <w:t>developer-owned tests for claim value calculator, deadline rules, evidence validator and APIs. Target minimum coverage: 85%.</w:t>
            </w:r>
          </w:p>
        </w:tc>
      </w:tr>
      <w:tr>
        <w:tc>
          <w:tcPr>
            <w:tcW w:type="dxa" w:w="4680"/>
          </w:tcPr>
          <w:p>
            <w:r>
              <w:t>Component testing</w:t>
            </w:r>
          </w:p>
        </w:tc>
        <w:tc>
          <w:tcPr>
            <w:tcW w:type="dxa" w:w="4680"/>
          </w:tcPr>
          <w:p>
            <w:r>
              <w:t>claims service, packet service, email function and AI description component.</w:t>
            </w:r>
          </w:p>
        </w:tc>
      </w:tr>
      <w:tr>
        <w:tc>
          <w:tcPr>
            <w:tcW w:type="dxa" w:w="4680"/>
          </w:tcPr>
          <w:p>
            <w:r>
              <w:t>API and contract testing</w:t>
            </w:r>
          </w:p>
        </w:tc>
        <w:tc>
          <w:tcPr>
            <w:tcW w:type="dxa" w:w="4680"/>
          </w:tcPr>
          <w:p>
            <w:r>
              <w:t>positive and negative behaviour, schemas, authentication, error codes, idempotency and versioning.</w:t>
            </w:r>
          </w:p>
        </w:tc>
      </w:tr>
      <w:tr>
        <w:tc>
          <w:tcPr>
            <w:tcW w:type="dxa" w:w="4680"/>
          </w:tcPr>
          <w:p>
            <w:r>
              <w:t>Integration testing</w:t>
            </w:r>
          </w:p>
        </w:tc>
        <w:tc>
          <w:tcPr>
            <w:tcW w:type="dxa" w:w="4680"/>
          </w:tcPr>
          <w:p>
            <w:r>
              <w:t>UI–claims service, claims service–APIM–TMS/ERP/Azure OpenAI, claims–Blob/PostgreSQL, Service Bus–packet service, Function–SendGrid and Azure AD.</w:t>
            </w:r>
          </w:p>
        </w:tc>
      </w:tr>
      <w:tr>
        <w:tc>
          <w:tcPr>
            <w:tcW w:type="dxa" w:w="4680"/>
          </w:tcPr>
          <w:p>
            <w:r>
              <w:t>System testing</w:t>
            </w:r>
          </w:p>
        </w:tc>
        <w:tc>
          <w:tcPr>
            <w:tcW w:type="dxa" w:w="4680"/>
          </w:tcPr>
          <w:p>
            <w:r>
              <w:t>end-to-end scenarios across lookup, evidence, description, calculation, approval, packet and email.</w:t>
            </w:r>
          </w:p>
        </w:tc>
      </w:tr>
      <w:tr>
        <w:tc>
          <w:tcPr>
            <w:tcW w:type="dxa" w:w="4680"/>
          </w:tcPr>
          <w:p>
            <w:r>
              <w:t>User acceptance testing</w:t>
            </w:r>
          </w:p>
        </w:tc>
        <w:tc>
          <w:tcPr>
            <w:tcW w:type="dxa" w:w="4680"/>
          </w:tcPr>
          <w:p>
            <w:r>
              <w:t>Branch Users and Claims Specialists validate the claim flow on tablets and desktops.</w:t>
            </w:r>
          </w:p>
        </w:tc>
      </w:tr>
    </w:tbl>
    <w:p/>
    <w:p>
      <w:pPr>
        <w:spacing w:after="100"/>
      </w:pPr>
      <w:r>
        <w:rPr>
          <w:b/>
        </w:rPr>
        <w:t xml:space="preserve">Techniques: </w:t>
      </w:r>
      <w:r>
        <w:t>Use requirements-based testing, equivalence partitioning, boundary-value analysis, pairwise coverage, negative testing, exploratory testing, risk-based prioritisation, regression testing and data-driven automation.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5. Functional Testing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Shipment lookup: </w:t>
      </w:r>
      <w:r>
        <w:t>Valid PRO, valid BOL, unknown number, multiple matches, TMS timeout with manual entry fallback.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Evidence upload: </w:t>
      </w:r>
      <w:r>
        <w:t>Up to 10 photos JPG/PNG ≤10 MB; 11th photo blocked; HEIC rejected; PDFs for documents; mandatory evidence per claim type.</w:t>
      </w:r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AI damage description: </w:t>
      </w:r>
      <w:r>
        <w:t>Description reflects visible damage, is editable, and states 'unable to determine' for unclear photos rather than inventing damage.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Claim value and deadlines: </w:t>
      </w:r>
      <w:r>
        <w:t>3 damaged units × USD 45.20 = USD 135.60 plus freight where applicable; rounding to 2 decimals. Concealed damage on day 5 → no warning; day 6 → warning; carrier 9-month deadline enforced.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Approval, packet and email: </w:t>
      </w:r>
      <w:r>
        <w:t>Claims above USD 5,000 require Claims Specialist approval; USD 5,000.00 exactly does not. Packet PDF contains form, photos and documents; email sent to correct carrier address; status updates in register.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6. Access Control Testing</w:t>
      </w:r>
    </w:p>
    <w:p>
      <w:pPr>
        <w:pStyle w:val="ListBullet"/>
        <w:spacing w:after="60"/>
      </w:pPr>
      <w:r>
        <w:rPr>
          <w:b/>
        </w:rPr>
        <w:t xml:space="preserve">Branch User – </w:t>
      </w:r>
      <w:r>
        <w:t>Permitted actions: Create and submit own branch claims; Restricted actions: Other branches, approvals, admin</w:t>
      </w:r>
    </w:p>
    <w:p>
      <w:pPr>
        <w:pStyle w:val="ListBullet"/>
        <w:spacing w:after="60"/>
      </w:pPr>
      <w:r>
        <w:rPr>
          <w:b w:val="0"/>
        </w:rPr>
        <w:t xml:space="preserve">Claims Specialist – </w:t>
      </w:r>
      <w:r>
        <w:t>Permitted actions: Approve above USD 5,000, follow up, close; Restricted actions: Carrier configuration</w:t>
      </w:r>
    </w:p>
    <w:p>
      <w:pPr>
        <w:pStyle w:val="ListBullet"/>
        <w:spacing w:after="60"/>
      </w:pPr>
      <w:r>
        <w:rPr>
          <w:b/>
        </w:rPr>
        <w:t xml:space="preserve">Logistics Admin: </w:t>
      </w:r>
      <w:r>
        <w:t>Permitted actions: Carriers, deadlines, templates; Restricted actions: Approving claims</w:t>
      </w:r>
    </w:p>
    <w:p>
      <w:pPr>
        <w:spacing w:after="100"/>
      </w:pPr>
      <w:r>
        <w:t>Verify branch isolation, approval enforcement, direct-URL access and session expiry on shared tablets.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7. AI and Data Quality Validation</w:t>
      </w:r>
    </w:p>
    <w:p>
      <w:pPr>
        <w:spacing w:after="100"/>
      </w:pPr>
      <w:r>
        <w:t>Use a labelled photo set with expected damage descriptions. Target: users rate ≥85% of descriptions acceptable; 0% invented damage on 'no damage' photos.</w:t>
      </w:r>
    </w:p>
    <w:p>
      <w:pPr>
        <w:spacing w:after="100"/>
      </w:pPr>
      <w:r>
        <w:t>Human rating of description quality. Negative tests with unrelated photos. Model and prompt version tracked per claim.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8. NFR Testing</w:t>
      </w:r>
    </w:p>
    <w:p>
      <w:pPr>
        <w:spacing w:before="120" w:after="80"/>
      </w:pPr>
      <w:r>
        <w:rPr>
          <w:b/>
          <w:color w:val="2E74B5"/>
          <w:sz w:val="24"/>
        </w:rPr>
        <w:t>8.1 Performance and scalability</w:t>
      </w:r>
    </w:p>
    <w:p>
      <w:pPr>
        <w:spacing w:after="100"/>
      </w:pPr>
      <w:r>
        <w:t>Lookup within 3 seconds; description within 20 seconds for 10 photos; packet within 10 seconds. 25 and 50 concurrent users.</w:t>
      </w:r>
    </w:p>
    <w:p>
      <w:pPr>
        <w:spacing w:before="120" w:after="80"/>
      </w:pPr>
      <w:r>
        <w:rPr>
          <w:b/>
          <w:color w:val="2E74B5"/>
          <w:sz w:val="24"/>
        </w:rPr>
        <w:t>8.2 Reliability and recovery</w:t>
      </w:r>
    </w:p>
    <w:p>
      <w:pPr>
        <w:spacing w:after="60"/>
        <w:ind w:left="432"/>
      </w:pPr>
      <w:r>
        <w:t xml:space="preserve">1. </w:t>
      </w:r>
      <w:r>
        <w:t>Service restart during processing, network interruption, dependency failure, retry/idempotency and recovery from partial failure.</w:t>
      </w:r>
    </w:p>
    <w:p>
      <w:pPr>
        <w:spacing w:after="60"/>
        <w:ind w:left="432"/>
      </w:pPr>
      <w:r>
        <w:t xml:space="preserve">2. </w:t>
      </w:r>
      <w:r>
        <w:t>Backup/restore, data reconciliation after recovery, alerting and runbooks.</w:t>
      </w:r>
    </w:p>
    <w:p>
      <w:pPr>
        <w:spacing w:before="120" w:after="80"/>
      </w:pPr>
      <w:r>
        <w:rPr>
          <w:b/>
          <w:color w:val="2E74B5"/>
          <w:sz w:val="24"/>
        </w:rPr>
        <w:t>8.3 Accessibility &amp; Browser Compatibility</w:t>
      </w:r>
    </w:p>
    <w:p>
      <w:pPr>
        <w:spacing w:after="60"/>
        <w:ind w:left="432"/>
      </w:pPr>
      <w:r>
        <w:t xml:space="preserve">1. </w:t>
      </w:r>
      <w:r>
        <w:t>Screen reader labels, keyboard-only navigation, focus order, colour contrast, error identification and zoom/reflow.</w:t>
      </w:r>
    </w:p>
    <w:p>
      <w:pPr>
        <w:spacing w:after="60"/>
        <w:ind w:left="432"/>
      </w:pPr>
      <w:r>
        <w:t xml:space="preserve">2. </w:t>
      </w:r>
      <w:r>
        <w:t>Current enterprise-supported versions of Edge, Chrome and Firefox.</w:t>
      </w:r>
    </w:p>
    <w:p>
      <w:pPr>
        <w:spacing w:after="60"/>
        <w:ind w:left="432"/>
      </w:pPr>
      <w:r>
        <w:t xml:space="preserve">3. </w:t>
      </w:r>
      <w:r>
        <w:t>Validate responsive layout on supported tablets and touch interaction.</w:t>
      </w:r>
    </w:p>
    <w:p>
      <w:pPr>
        <w:spacing w:before="120" w:after="80"/>
      </w:pPr>
      <w:r>
        <w:rPr>
          <w:b/>
          <w:color w:val="2E74B5"/>
          <w:sz w:val="24"/>
        </w:rPr>
        <w:t>8.4 Security</w:t>
      </w:r>
    </w:p>
    <w:p>
      <w:pPr>
        <w:spacing w:after="60"/>
        <w:ind w:left="432"/>
      </w:pPr>
      <w:r>
        <w:t xml:space="preserve">– </w:t>
      </w:r>
      <w:r>
        <w:t>Azure AD login, MFA, session timeout, token expiration, logout and JWT validation.</w:t>
      </w:r>
    </w:p>
    <w:p>
      <w:pPr>
        <w:spacing w:after="60"/>
        <w:ind w:left="432"/>
      </w:pPr>
      <w:r>
        <w:t xml:space="preserve">– </w:t>
      </w:r>
      <w:r>
        <w:t>RBAC at UI and API layers; rate limiting; input validation; safe error messages; CSRF and XSS protection.</w:t>
      </w:r>
    </w:p>
    <w:p>
      <w:pPr>
        <w:spacing w:after="60"/>
        <w:ind w:left="432"/>
      </w:pPr>
      <w:r>
        <w:t xml:space="preserve">– </w:t>
      </w:r>
      <w:r>
        <w:t>Test image files with embedded scripts and EXIF data stripping.</w:t>
      </w:r>
    </w:p>
    <w:p>
      <w:pPr>
        <w:spacing w:after="60"/>
        <w:ind w:left="432"/>
      </w:pPr>
      <w:r>
        <w:t xml:space="preserve">– </w:t>
      </w:r>
      <w:r>
        <w:t>Verify unit cost is not exposed in carrier emails beyond the claim total.</w:t>
      </w:r>
    </w:p>
    <w:p>
      <w:pPr>
        <w:spacing w:after="60"/>
        <w:ind w:left="432"/>
      </w:pPr>
      <w:r>
        <w:t xml:space="preserve">– </w:t>
      </w:r>
      <w:r>
        <w:t>Dependency scanning, SAST/DAST and penetration testing before release.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9. Audit and Observability</w:t>
      </w:r>
    </w:p>
    <w:p>
      <w:pPr>
        <w:spacing w:after="100"/>
      </w:pPr>
      <w:r>
        <w:t>Verify structured logs, metrics, traces, correlation IDs, dashboards and alerts. Audit records must capture user, branch, claim identifier, PRO/BOL, claim value, approval, packet and email events, model version. Confirm timestamps, access controls, retention and exportability.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10. Test Data and Environment Strategy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Valid: </w:t>
      </w:r>
      <w:r>
        <w:t>Shipments with damaged and short deliveries, labelled photos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Invalid: </w:t>
      </w:r>
      <w:r>
        <w:t>Unknown PRO, HEIC files, oversized photos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Boundary – </w:t>
      </w:r>
      <w:r>
        <w:t>Day 5/6 concealed damage, USD 5,000.00/5,000.01, 10/11 photos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Security: </w:t>
      </w:r>
      <w:r>
        <w:t>Malicious images, restricted roles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Production-like – </w:t>
      </w:r>
      <w:r>
        <w:t>Monthly claim volume with masked costs</w:t>
      </w:r>
    </w:p>
    <w:p>
      <w:pPr>
        <w:spacing w:after="100"/>
      </w:pPr>
      <w:r>
        <w:t>Isolated development, QA/integration, performance and UAT environments; versioned test data and expected results; record build, configuration, dataset and model version for every execution.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11. Suspension, Entry and Exit Criteria</w:t>
      </w:r>
    </w:p>
    <w:p>
      <w:pPr>
        <w:spacing w:before="120" w:after="80"/>
      </w:pPr>
      <w:r>
        <w:rPr>
          <w:b/>
          <w:color w:val="2E74B5"/>
          <w:sz w:val="24"/>
        </w:rPr>
        <w:t>11.1 Entry criteria</w:t>
      </w:r>
    </w:p>
    <w:p>
      <w:pPr>
        <w:pStyle w:val="ListBullet"/>
        <w:spacing w:after="60"/>
      </w:pPr>
      <w:r>
        <w:t>BRD approved and requirements baselined; acceptance criteria and thresholds agreed.</w:t>
      </w:r>
    </w:p>
    <w:p>
      <w:pPr>
        <w:pStyle w:val="ListBullet"/>
        <w:spacing w:after="60"/>
      </w:pPr>
      <w:r>
        <w:t>Environment, integrations, monitoring and access provisioned; test data available.</w:t>
      </w:r>
    </w:p>
    <w:p>
      <w:pPr>
        <w:pStyle w:val="ListBullet"/>
        <w:spacing w:after="60"/>
      </w:pPr>
      <w:r>
        <w:t>TMS/ERP test data or mocks available; carrier rules configured.</w:t>
      </w:r>
    </w:p>
    <w:p>
      <w:pPr>
        <w:pStyle w:val="ListBullet"/>
        <w:spacing w:after="60"/>
      </w:pPr>
      <w:r>
        <w:t>Build deployed with unit-test evidence and known limitations documented.</w:t>
      </w:r>
    </w:p>
    <w:p>
      <w:pPr>
        <w:spacing w:before="120" w:after="80"/>
      </w:pPr>
      <w:r>
        <w:rPr>
          <w:b/>
          <w:color w:val="2E74B5"/>
          <w:sz w:val="24"/>
        </w:rPr>
        <w:t>11.2 Exit criteria</w:t>
      </w:r>
    </w:p>
    <w:p>
      <w:pPr>
        <w:spacing w:after="60"/>
        <w:ind w:left="432"/>
      </w:pPr>
      <w:r>
        <w:t xml:space="preserve">– </w:t>
      </w:r>
      <w:r>
        <w:t>At least 95% of planned test cases passed, with all critical-path cases passed.</w:t>
      </w:r>
    </w:p>
    <w:p>
      <w:pPr>
        <w:spacing w:after="60"/>
        <w:ind w:left="432"/>
      </w:pPr>
      <w:r>
        <w:t xml:space="preserve">– </w:t>
      </w:r>
      <w:r>
        <w:t>No open Critical defects and no open High-severity security defects.</w:t>
      </w:r>
    </w:p>
    <w:p>
      <w:pPr>
        <w:spacing w:after="60"/>
        <w:ind w:left="432"/>
      </w:pPr>
      <w:r>
        <w:t xml:space="preserve">– </w:t>
      </w:r>
      <w:r>
        <w:t>Claim value and deadline rules 100% correct.</w:t>
      </w:r>
    </w:p>
    <w:p>
      <w:pPr>
        <w:spacing w:after="60"/>
        <w:ind w:left="432"/>
      </w:pPr>
      <w:r>
        <w:t xml:space="preserve">– </w:t>
      </w:r>
      <w:r>
        <w:t>≥85% description acceptance in UAT.</w:t>
      </w:r>
    </w:p>
    <w:p>
      <w:pPr>
        <w:spacing w:after="60"/>
        <w:ind w:left="432"/>
      </w:pPr>
      <w:r>
        <w:t xml:space="preserve">– </w:t>
      </w:r>
      <w:r>
        <w:t>Performance targets met.</w:t>
      </w:r>
    </w:p>
    <w:p>
      <w:pPr>
        <w:spacing w:after="60"/>
        <w:ind w:left="432"/>
      </w:pPr>
      <w:r>
        <w:t xml:space="preserve">– </w:t>
      </w:r>
      <w:r>
        <w:t>All UAT scenarios approved and business sign-off completed.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12. Defect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Critical</w:t>
            </w:r>
          </w:p>
        </w:tc>
        <w:tc>
          <w:tcPr>
            <w:tcW w:type="dxa" w:w="3120"/>
          </w:tcPr>
          <w:p>
            <w:r>
              <w:t>Wrong claim value or wrong carrier</w:t>
            </w:r>
          </w:p>
        </w:tc>
        <w:tc>
          <w:tcPr>
            <w:tcW w:type="dxa" w:w="3120"/>
          </w:tcPr>
          <w:p>
            <w:r>
              <w:t>Packet sent to wrong carrier</w:t>
            </w:r>
          </w:p>
        </w:tc>
      </w:tr>
      <w:tr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Claim cannot be submitted</w:t>
            </w:r>
          </w:p>
        </w:tc>
        <w:tc>
          <w:tcPr>
            <w:tcW w:type="dxa" w:w="3120"/>
          </w:tcPr>
          <w:p>
            <w:r>
              <w:t>Upload fails for all photos</w:t>
            </w:r>
          </w:p>
        </w:tc>
      </w:tr>
      <w:tr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Workaround</w:t>
            </w:r>
          </w:p>
        </w:tc>
        <w:tc>
          <w:tcPr>
            <w:tcW w:type="dxa" w:w="3120"/>
          </w:tcPr>
          <w:p>
            <w:r>
              <w:t>Lookup needs manual entry for one carrier</w:t>
            </w:r>
          </w:p>
        </w:tc>
      </w:tr>
      <w:tr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Cosmetic</w:t>
            </w:r>
          </w:p>
        </w:tc>
        <w:tc>
          <w:tcPr>
            <w:tcW w:type="dxa" w:w="3120"/>
          </w:tcPr>
          <w:p>
            <w:r>
              <w:t>Tablet button spacing</w:t>
            </w:r>
          </w:p>
        </w:tc>
      </w:tr>
    </w:tbl>
    <w:p/>
    <w:p>
      <w:pPr>
        <w:spacing w:after="100"/>
      </w:pPr>
      <w:r>
        <w:t>Each defect includes steps, expected/actual results, evidence, severity, environment, build, owner and retest result.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13. Risk Register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t>Poor photos</w:t>
            </w:r>
          </w:p>
        </w:tc>
        <w:tc>
          <w:tcPr>
            <w:tcW w:type="dxa" w:w="4680"/>
          </w:tcPr>
          <w:p>
            <w:r>
              <w:t>Negative tests and editable description</w:t>
            </w:r>
          </w:p>
        </w:tc>
      </w:tr>
      <w:tr>
        <w:tc>
          <w:tcPr>
            <w:tcW w:type="dxa" w:w="4680"/>
          </w:tcPr>
          <w:p>
            <w:r>
              <w:t>API gaps</w:t>
            </w:r>
          </w:p>
        </w:tc>
        <w:tc>
          <w:tcPr>
            <w:tcW w:type="dxa" w:w="4680"/>
          </w:tcPr>
          <w:p>
            <w:r>
              <w:t>Fallback tests</w:t>
            </w:r>
          </w:p>
        </w:tc>
      </w:tr>
      <w:tr>
        <w:tc>
          <w:tcPr>
            <w:tcW w:type="dxa" w:w="4680"/>
          </w:tcPr>
          <w:p>
            <w:r>
              <w:t>Rule errors</w:t>
            </w:r>
          </w:p>
        </w:tc>
        <w:tc>
          <w:tcPr>
            <w:tcW w:type="dxa" w:w="4680"/>
          </w:tcPr>
          <w:p>
            <w:r>
              <w:t>Boundary tests</w:t>
            </w:r>
          </w:p>
        </w:tc>
      </w:tr>
      <w:tr>
        <w:tc>
          <w:tcPr>
            <w:tcW w:type="dxa" w:w="4680"/>
          </w:tcPr>
          <w:p>
            <w:r>
              <w:t>Data exposure</w:t>
            </w:r>
          </w:p>
        </w:tc>
        <w:tc>
          <w:tcPr>
            <w:tcW w:type="dxa" w:w="4680"/>
          </w:tcPr>
          <w:p>
            <w:r>
              <w:t>Email content tests</w:t>
            </w:r>
          </w:p>
        </w:tc>
      </w:tr>
    </w:tbl>
    <w:p/>
    <w:p>
      <w:pPr>
        <w:spacing w:before="200" w:after="80"/>
      </w:pPr>
      <w:r>
        <w:rPr>
          <w:b/>
          <w:color w:val="2E74B5"/>
          <w:sz w:val="28"/>
          <w:u w:val="single"/>
        </w:rPr>
        <w:t>14. Deliverables and Reporting</w:t>
      </w:r>
    </w:p>
    <w:p>
      <w:pPr>
        <w:spacing w:after="60"/>
        <w:ind w:left="432"/>
      </w:pPr>
      <w:r>
        <w:t xml:space="preserve">– </w:t>
      </w:r>
      <w:r>
        <w:t>Master Test Plan and Test Strategy</w:t>
      </w:r>
    </w:p>
    <w:p>
      <w:pPr>
        <w:spacing w:after="60"/>
        <w:ind w:left="432"/>
      </w:pPr>
      <w:r>
        <w:t xml:space="preserve">– </w:t>
      </w:r>
      <w:r>
        <w:t>Requirements Traceability Matrix (RTM)</w:t>
      </w:r>
    </w:p>
    <w:p>
      <w:pPr>
        <w:spacing w:after="60"/>
        <w:ind w:left="432"/>
      </w:pPr>
      <w:r>
        <w:t xml:space="preserve">– </w:t>
      </w:r>
      <w:r>
        <w:t>Test scenarios, cases, scripts and automation report</w:t>
      </w:r>
    </w:p>
    <w:p>
      <w:pPr>
        <w:spacing w:after="60"/>
        <w:ind w:left="432"/>
      </w:pPr>
      <w:r>
        <w:t xml:space="preserve">– </w:t>
      </w:r>
      <w:r>
        <w:t>Versioned test data and golden dataset</w:t>
      </w:r>
    </w:p>
    <w:p>
      <w:pPr>
        <w:spacing w:after="60"/>
        <w:ind w:left="432"/>
      </w:pPr>
      <w:r>
        <w:t xml:space="preserve">– </w:t>
      </w:r>
      <w:r>
        <w:t>Defect report, daily status report and test execution report</w:t>
      </w:r>
    </w:p>
    <w:p>
      <w:pPr>
        <w:spacing w:after="60"/>
        <w:ind w:left="432"/>
      </w:pPr>
      <w:r>
        <w:t xml:space="preserve">– </w:t>
      </w:r>
      <w:r>
        <w:t>Performance, security, accessibility and reliability test reports</w:t>
      </w:r>
    </w:p>
    <w:p>
      <w:pPr>
        <w:spacing w:after="60"/>
        <w:ind w:left="432"/>
      </w:pPr>
      <w:r>
        <w:t xml:space="preserve">– </w:t>
      </w:r>
      <w:r>
        <w:t>UAT evidence and sign-off</w:t>
      </w:r>
    </w:p>
    <w:p>
      <w:pPr>
        <w:spacing w:after="60"/>
        <w:ind w:left="432"/>
      </w:pPr>
      <w:r>
        <w:t xml:space="preserve">– </w:t>
      </w:r>
      <w:r>
        <w:t>Test closure report with residual risks and lessons learned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15. Recommended MVP1 Traceability and Metrics</w:t>
      </w:r>
    </w:p>
    <w:p>
      <w:pPr>
        <w:spacing w:after="100"/>
      </w:pPr>
      <w:r>
        <w:t>Map every BRD requirement to test cases and evidence. Report weekly planned/executed/passed/failed/blocked cases, coverage by requirement and risk, defect severity and ageing, evidence completeness, calculation accuracy, description acceptance, packet success rate, accessibility and security findings and UAT completion.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16. Schedule</w:t>
      </w:r>
    </w:p>
    <w:p>
      <w:pPr>
        <w:pStyle w:val="ListBullet"/>
        <w:spacing w:after="60"/>
      </w:pPr>
      <w:r>
        <w:t>MVP1: Apr–Jun 2026</w:t>
      </w:r>
    </w:p>
    <w:p>
      <w:pPr>
        <w:pStyle w:val="ListBullet"/>
        <w:spacing w:after="60"/>
      </w:pPr>
      <w:r>
        <w:t>MVP2: Q4 2026</w:t>
      </w:r>
    </w:p>
    <w:p>
      <w:pPr>
        <w:pStyle w:val="ListBullet"/>
        <w:spacing w:after="60"/>
      </w:pPr>
      <w:r>
        <w:t>Test execution and UAT aligned to MVP1 milestones above.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17. Representative End-to-End Scenario</w:t>
      </w:r>
    </w:p>
    <w:p>
      <w:pPr>
        <w:spacing w:after="60"/>
        <w:ind w:left="432"/>
      </w:pPr>
      <w:r>
        <w:t>Step 1: Sign in as Branch User on a tablet.</w:t>
      </w:r>
    </w:p>
    <w:p>
      <w:pPr>
        <w:spacing w:after="60"/>
        <w:ind w:left="432"/>
      </w:pPr>
      <w:r>
        <w:t>Step 2: Look up a shipment by PRO.</w:t>
      </w:r>
    </w:p>
    <w:p>
      <w:pPr>
        <w:spacing w:after="60"/>
        <w:ind w:left="432"/>
      </w:pPr>
      <w:r>
        <w:t>Step 3: Upload photos and documents.</w:t>
      </w:r>
    </w:p>
    <w:p>
      <w:pPr>
        <w:spacing w:after="60"/>
        <w:ind w:left="432"/>
      </w:pPr>
      <w:r>
        <w:t>Step 4: Review the AI description.</w:t>
      </w:r>
    </w:p>
    <w:p>
      <w:pPr>
        <w:spacing w:after="60"/>
        <w:ind w:left="432"/>
      </w:pPr>
      <w:r>
        <w:t>Step 5: Verify claim value and deadline.</w:t>
      </w:r>
    </w:p>
    <w:p>
      <w:pPr>
        <w:spacing w:after="60"/>
        <w:ind w:left="432"/>
      </w:pPr>
      <w:r>
        <w:t>Step 6: Route to Claims Specialist for approval above USD 5,000.</w:t>
      </w:r>
    </w:p>
    <w:p>
      <w:pPr>
        <w:spacing w:after="60"/>
        <w:ind w:left="432"/>
      </w:pPr>
      <w:r>
        <w:t>Step 7: Generate the packet and email the carrier.</w:t>
      </w:r>
    </w:p>
    <w:p>
      <w:pPr>
        <w:spacing w:after="60"/>
        <w:ind w:left="432"/>
      </w:pPr>
      <w:r>
        <w:t>Step 8: Verify register and audit trail.</w:t>
      </w:r>
    </w:p>
    <w:p>
      <w:pPr>
        <w:spacing w:before="200" w:after="80"/>
      </w:pPr>
      <w:r>
        <w:rPr>
          <w:b/>
          <w:color w:val="2E74B5"/>
          <w:sz w:val="28"/>
          <w:u w:val="single"/>
        </w:rPr>
        <w:t>18.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3120"/>
          </w:tcPr>
          <w:p>
            <w:r>
              <w:t>QA Lead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Product Owner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Business Owner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pPr>
        <w:spacing w:after="100"/>
      </w:pPr>
      <w:r>
        <w:rPr>
          <w:b/>
        </w:rPr>
        <w:t xml:space="preserve">Go/No-Go: </w:t>
      </w:r>
      <w:r>
        <w:t>MVP1 should not be released until the exit criteria are met or deviations are accepted by Logistics and Product.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